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E50" w:rsidRPr="00837E50" w:rsidRDefault="00643BFC" w:rsidP="00837E50">
      <w:pPr>
        <w:jc w:val="right"/>
        <w:rPr>
          <w:sz w:val="20"/>
          <w:szCs w:val="20"/>
        </w:rPr>
      </w:pPr>
      <w:r>
        <w:rPr>
          <w:sz w:val="20"/>
          <w:szCs w:val="20"/>
        </w:rPr>
        <w:t>Świdnica</w:t>
      </w:r>
      <w:r w:rsidR="0098627D">
        <w:rPr>
          <w:sz w:val="20"/>
          <w:szCs w:val="20"/>
        </w:rPr>
        <w:t xml:space="preserve">, dnia </w:t>
      </w:r>
      <w:r w:rsidR="00785C86">
        <w:rPr>
          <w:sz w:val="20"/>
          <w:szCs w:val="20"/>
        </w:rPr>
        <w:t>0</w:t>
      </w:r>
      <w:r w:rsidR="00DE2896">
        <w:rPr>
          <w:sz w:val="20"/>
          <w:szCs w:val="20"/>
        </w:rPr>
        <w:t>9</w:t>
      </w:r>
      <w:r w:rsidR="00785C86">
        <w:rPr>
          <w:sz w:val="20"/>
          <w:szCs w:val="20"/>
        </w:rPr>
        <w:t xml:space="preserve"> </w:t>
      </w:r>
      <w:r w:rsidR="00DE2896">
        <w:rPr>
          <w:sz w:val="20"/>
          <w:szCs w:val="20"/>
        </w:rPr>
        <w:t>sierpnia</w:t>
      </w:r>
      <w:r w:rsidR="00955713">
        <w:rPr>
          <w:sz w:val="20"/>
          <w:szCs w:val="20"/>
        </w:rPr>
        <w:t xml:space="preserve"> 201</w:t>
      </w:r>
      <w:r w:rsidR="000500E1">
        <w:rPr>
          <w:sz w:val="20"/>
          <w:szCs w:val="20"/>
        </w:rPr>
        <w:t>9</w:t>
      </w:r>
      <w:r w:rsidR="009273D3" w:rsidRPr="00837E50">
        <w:rPr>
          <w:sz w:val="20"/>
          <w:szCs w:val="20"/>
        </w:rPr>
        <w:t xml:space="preserve"> roku </w:t>
      </w:r>
    </w:p>
    <w:p w:rsidR="00FF4569" w:rsidRDefault="00FF4569" w:rsidP="00837E50">
      <w:pPr>
        <w:jc w:val="center"/>
        <w:rPr>
          <w:sz w:val="20"/>
          <w:szCs w:val="20"/>
        </w:rPr>
      </w:pPr>
    </w:p>
    <w:p w:rsidR="00837E50" w:rsidRPr="00837E50" w:rsidRDefault="009273D3" w:rsidP="00837E50">
      <w:pPr>
        <w:jc w:val="center"/>
        <w:rPr>
          <w:sz w:val="20"/>
          <w:szCs w:val="20"/>
        </w:rPr>
      </w:pPr>
      <w:r w:rsidRPr="00837E50">
        <w:rPr>
          <w:sz w:val="20"/>
          <w:szCs w:val="20"/>
        </w:rPr>
        <w:t xml:space="preserve">Ogłoszenie </w:t>
      </w:r>
      <w:proofErr w:type="spellStart"/>
      <w:r w:rsidRPr="00837E50">
        <w:rPr>
          <w:sz w:val="20"/>
          <w:szCs w:val="20"/>
        </w:rPr>
        <w:t>Grantodawcy</w:t>
      </w:r>
      <w:proofErr w:type="spellEnd"/>
      <w:r w:rsidRPr="00837E50">
        <w:rPr>
          <w:sz w:val="20"/>
          <w:szCs w:val="20"/>
        </w:rPr>
        <w:t xml:space="preserve"> w sprawie </w:t>
      </w:r>
      <w:r w:rsidR="00DE2896">
        <w:rPr>
          <w:sz w:val="20"/>
          <w:szCs w:val="20"/>
        </w:rPr>
        <w:t>piątego</w:t>
      </w:r>
      <w:r w:rsidR="00F42DC3">
        <w:rPr>
          <w:sz w:val="20"/>
          <w:szCs w:val="20"/>
        </w:rPr>
        <w:t xml:space="preserve"> N</w:t>
      </w:r>
      <w:r w:rsidRPr="00837E50">
        <w:rPr>
          <w:sz w:val="20"/>
          <w:szCs w:val="20"/>
        </w:rPr>
        <w:t xml:space="preserve">aboru </w:t>
      </w:r>
      <w:proofErr w:type="spellStart"/>
      <w:r w:rsidRPr="00837E50">
        <w:rPr>
          <w:sz w:val="20"/>
          <w:szCs w:val="20"/>
        </w:rPr>
        <w:t>Grantobiorców</w:t>
      </w:r>
      <w:proofErr w:type="spellEnd"/>
    </w:p>
    <w:p w:rsidR="00FF4569" w:rsidRDefault="00FF4569" w:rsidP="00394887">
      <w:pPr>
        <w:autoSpaceDE w:val="0"/>
        <w:autoSpaceDN w:val="0"/>
        <w:adjustRightInd w:val="0"/>
        <w:spacing w:after="0" w:line="240" w:lineRule="auto"/>
        <w:jc w:val="center"/>
        <w:rPr>
          <w:b/>
          <w:sz w:val="20"/>
          <w:szCs w:val="20"/>
        </w:rPr>
      </w:pPr>
    </w:p>
    <w:p w:rsidR="00FF4569" w:rsidRPr="00D44DBF" w:rsidRDefault="00643BFC" w:rsidP="00D44DBF">
      <w:pPr>
        <w:autoSpaceDE w:val="0"/>
        <w:autoSpaceDN w:val="0"/>
        <w:adjustRightInd w:val="0"/>
        <w:spacing w:after="0" w:line="240" w:lineRule="auto"/>
        <w:jc w:val="center"/>
        <w:rPr>
          <w:b/>
          <w:sz w:val="20"/>
          <w:szCs w:val="20"/>
        </w:rPr>
      </w:pPr>
      <w:r>
        <w:rPr>
          <w:b/>
          <w:sz w:val="20"/>
          <w:szCs w:val="20"/>
        </w:rPr>
        <w:t xml:space="preserve">Sudecka Izba Przemysłowo-Handlowa </w:t>
      </w:r>
      <w:r w:rsidR="00C90FC4" w:rsidRPr="00837E50">
        <w:rPr>
          <w:b/>
          <w:sz w:val="20"/>
          <w:szCs w:val="20"/>
        </w:rPr>
        <w:t xml:space="preserve">, </w:t>
      </w:r>
      <w:r w:rsidR="009273D3" w:rsidRPr="00837E50">
        <w:rPr>
          <w:b/>
          <w:sz w:val="20"/>
          <w:szCs w:val="20"/>
        </w:rPr>
        <w:t xml:space="preserve">informuje o </w:t>
      </w:r>
      <w:r w:rsidR="00D61029" w:rsidRPr="00837E50">
        <w:rPr>
          <w:b/>
          <w:sz w:val="20"/>
          <w:szCs w:val="20"/>
        </w:rPr>
        <w:t>planowany</w:t>
      </w:r>
      <w:r w:rsidR="005A18F0">
        <w:rPr>
          <w:b/>
          <w:sz w:val="20"/>
          <w:szCs w:val="20"/>
        </w:rPr>
        <w:t xml:space="preserve">m na dzień </w:t>
      </w:r>
      <w:r w:rsidR="00DE2896">
        <w:rPr>
          <w:b/>
          <w:sz w:val="20"/>
          <w:szCs w:val="20"/>
        </w:rPr>
        <w:t>19</w:t>
      </w:r>
      <w:r w:rsidR="005A18F0" w:rsidRPr="009058D9">
        <w:rPr>
          <w:b/>
          <w:sz w:val="20"/>
          <w:szCs w:val="20"/>
        </w:rPr>
        <w:t xml:space="preserve"> </w:t>
      </w:r>
      <w:r w:rsidR="00DE2896">
        <w:rPr>
          <w:b/>
          <w:sz w:val="20"/>
          <w:szCs w:val="20"/>
        </w:rPr>
        <w:t>sierpnia</w:t>
      </w:r>
      <w:r w:rsidR="0037751C">
        <w:rPr>
          <w:b/>
          <w:sz w:val="20"/>
          <w:szCs w:val="20"/>
        </w:rPr>
        <w:t xml:space="preserve"> 2019</w:t>
      </w:r>
      <w:r w:rsidR="00C82B0E" w:rsidRPr="009058D9">
        <w:rPr>
          <w:b/>
          <w:sz w:val="20"/>
          <w:szCs w:val="20"/>
        </w:rPr>
        <w:t xml:space="preserve"> r.</w:t>
      </w:r>
      <w:r w:rsidR="00D61029" w:rsidRPr="009058D9">
        <w:rPr>
          <w:b/>
          <w:sz w:val="20"/>
          <w:szCs w:val="20"/>
        </w:rPr>
        <w:t xml:space="preserve"> </w:t>
      </w:r>
      <w:r w:rsidR="00854113">
        <w:rPr>
          <w:b/>
          <w:sz w:val="20"/>
          <w:szCs w:val="20"/>
        </w:rPr>
        <w:br/>
      </w:r>
      <w:r w:rsidR="00D61029" w:rsidRPr="00837E50">
        <w:rPr>
          <w:b/>
          <w:sz w:val="20"/>
          <w:szCs w:val="20"/>
        </w:rPr>
        <w:t xml:space="preserve">otwarciu </w:t>
      </w:r>
      <w:r w:rsidR="00DE2896">
        <w:rPr>
          <w:b/>
          <w:sz w:val="20"/>
          <w:szCs w:val="20"/>
        </w:rPr>
        <w:t>piątego</w:t>
      </w:r>
      <w:r w:rsidR="00FA277D">
        <w:rPr>
          <w:b/>
          <w:sz w:val="20"/>
          <w:szCs w:val="20"/>
        </w:rPr>
        <w:t xml:space="preserve"> </w:t>
      </w:r>
      <w:r w:rsidR="00D61029" w:rsidRPr="00837E50">
        <w:rPr>
          <w:b/>
          <w:sz w:val="20"/>
          <w:szCs w:val="20"/>
        </w:rPr>
        <w:t>naboru</w:t>
      </w:r>
      <w:r w:rsidR="00C90FC4" w:rsidRPr="00837E50">
        <w:rPr>
          <w:b/>
          <w:sz w:val="20"/>
          <w:szCs w:val="20"/>
        </w:rPr>
        <w:t xml:space="preserve"> W</w:t>
      </w:r>
      <w:r w:rsidR="009273D3" w:rsidRPr="00837E50">
        <w:rPr>
          <w:b/>
          <w:sz w:val="20"/>
          <w:szCs w:val="20"/>
        </w:rPr>
        <w:t>niosków o</w:t>
      </w:r>
      <w:r w:rsidR="00D61029" w:rsidRPr="00837E50">
        <w:rPr>
          <w:b/>
          <w:sz w:val="20"/>
          <w:szCs w:val="20"/>
        </w:rPr>
        <w:t xml:space="preserve"> </w:t>
      </w:r>
      <w:r w:rsidR="00C90FC4" w:rsidRPr="00837E50">
        <w:rPr>
          <w:b/>
          <w:sz w:val="20"/>
          <w:szCs w:val="20"/>
        </w:rPr>
        <w:t>udzielenie</w:t>
      </w:r>
      <w:r w:rsidR="00D61029" w:rsidRPr="00837E50">
        <w:rPr>
          <w:b/>
          <w:sz w:val="20"/>
          <w:szCs w:val="20"/>
        </w:rPr>
        <w:t xml:space="preserve"> G</w:t>
      </w:r>
      <w:r w:rsidR="00C90FC4" w:rsidRPr="00837E50">
        <w:rPr>
          <w:b/>
          <w:sz w:val="20"/>
          <w:szCs w:val="20"/>
        </w:rPr>
        <w:t>rantu</w:t>
      </w:r>
      <w:r w:rsidR="00D61029" w:rsidRPr="00837E50">
        <w:rPr>
          <w:b/>
          <w:sz w:val="20"/>
          <w:szCs w:val="20"/>
        </w:rPr>
        <w:t xml:space="preserve"> w P</w:t>
      </w:r>
      <w:r w:rsidR="009273D3" w:rsidRPr="00837E50">
        <w:rPr>
          <w:b/>
          <w:sz w:val="20"/>
          <w:szCs w:val="20"/>
        </w:rPr>
        <w:t xml:space="preserve">rojekcie </w:t>
      </w:r>
      <w:r w:rsidR="00C82B0E" w:rsidRPr="00837E50">
        <w:rPr>
          <w:b/>
          <w:sz w:val="20"/>
          <w:szCs w:val="20"/>
        </w:rPr>
        <w:br/>
      </w:r>
      <w:r w:rsidR="009273D3" w:rsidRPr="00837E50">
        <w:rPr>
          <w:b/>
          <w:sz w:val="20"/>
          <w:szCs w:val="20"/>
        </w:rPr>
        <w:t>„</w:t>
      </w:r>
      <w:r w:rsidR="00D61029" w:rsidRPr="00837E50">
        <w:rPr>
          <w:b/>
          <w:sz w:val="20"/>
          <w:szCs w:val="20"/>
        </w:rPr>
        <w:t xml:space="preserve">Wsparcie rozwoju mikro, małych i średnich przedsiębiorstw </w:t>
      </w:r>
      <w:r w:rsidR="00DE2896">
        <w:rPr>
          <w:b/>
          <w:sz w:val="20"/>
          <w:szCs w:val="20"/>
        </w:rPr>
        <w:t>Równiny Wrocławskiej</w:t>
      </w:r>
      <w:r w:rsidR="009273D3" w:rsidRPr="00837E50">
        <w:rPr>
          <w:b/>
          <w:sz w:val="20"/>
          <w:szCs w:val="20"/>
        </w:rPr>
        <w:t>”</w:t>
      </w:r>
      <w:r w:rsidR="00837E50" w:rsidRPr="00837E50">
        <w:rPr>
          <w:b/>
          <w:sz w:val="20"/>
          <w:szCs w:val="20"/>
        </w:rPr>
        <w:t>.</w:t>
      </w:r>
      <w:r w:rsidR="00394887" w:rsidRPr="00837E50">
        <w:rPr>
          <w:b/>
          <w:sz w:val="20"/>
          <w:szCs w:val="20"/>
        </w:rPr>
        <w:t xml:space="preserve"> </w:t>
      </w:r>
      <w:r w:rsidR="00394887" w:rsidRPr="00837E50">
        <w:rPr>
          <w:b/>
          <w:sz w:val="20"/>
          <w:szCs w:val="20"/>
        </w:rPr>
        <w:br/>
      </w:r>
    </w:p>
    <w:p w:rsidR="00E56886" w:rsidRPr="00837E50" w:rsidRDefault="00E56886" w:rsidP="00E56886">
      <w:pPr>
        <w:jc w:val="both"/>
        <w:rPr>
          <w:sz w:val="20"/>
          <w:szCs w:val="20"/>
        </w:rPr>
      </w:pPr>
      <w:r w:rsidRPr="00837E50">
        <w:rPr>
          <w:sz w:val="20"/>
          <w:szCs w:val="20"/>
        </w:rPr>
        <w:t>Projekt</w:t>
      </w:r>
      <w:r>
        <w:rPr>
          <w:sz w:val="20"/>
          <w:szCs w:val="20"/>
        </w:rPr>
        <w:t xml:space="preserve"> </w:t>
      </w:r>
      <w:r w:rsidRPr="00837E50">
        <w:rPr>
          <w:sz w:val="20"/>
          <w:szCs w:val="20"/>
        </w:rPr>
        <w:t xml:space="preserve">„Wsparcie rozwoju mikro, małych i średnich przedsiębiorstw </w:t>
      </w:r>
      <w:r w:rsidR="00DE2896">
        <w:rPr>
          <w:sz w:val="20"/>
          <w:szCs w:val="20"/>
        </w:rPr>
        <w:t>Równiny Wrocławskiej</w:t>
      </w:r>
      <w:r w:rsidRPr="00C171A0">
        <w:rPr>
          <w:sz w:val="20"/>
          <w:szCs w:val="20"/>
        </w:rPr>
        <w:t>” (nr Projektu RPDS.01.</w:t>
      </w:r>
      <w:r w:rsidR="00785C86">
        <w:rPr>
          <w:sz w:val="20"/>
          <w:szCs w:val="20"/>
        </w:rPr>
        <w:t>03.01-02-00</w:t>
      </w:r>
      <w:r w:rsidR="00DE2896">
        <w:rPr>
          <w:sz w:val="20"/>
          <w:szCs w:val="20"/>
        </w:rPr>
        <w:t>13</w:t>
      </w:r>
      <w:r w:rsidRPr="00837E50">
        <w:rPr>
          <w:sz w:val="20"/>
          <w:szCs w:val="20"/>
        </w:rPr>
        <w:t>/17) realizowany jest w ramach Regionalnego Programu Operacyjnego dla Województwa Dolnośląskiego na lata 2014 – 2020, Oś Priorytetowa nr 1 Przedsiębiorstwa i innowacje, </w:t>
      </w:r>
      <w:r w:rsidRPr="00837E50">
        <w:rPr>
          <w:bCs/>
          <w:sz w:val="20"/>
          <w:szCs w:val="20"/>
        </w:rPr>
        <w:t>Działanie 1.3 Rozwój przeds</w:t>
      </w:r>
      <w:r>
        <w:rPr>
          <w:bCs/>
          <w:sz w:val="20"/>
          <w:szCs w:val="20"/>
        </w:rPr>
        <w:t>iębiorczości, Poddziałanie 1.3.1</w:t>
      </w:r>
      <w:r w:rsidRPr="00837E50">
        <w:rPr>
          <w:bCs/>
          <w:sz w:val="20"/>
          <w:szCs w:val="20"/>
        </w:rPr>
        <w:t xml:space="preserve"> Rozwój przedsiębiorczości – </w:t>
      </w:r>
      <w:r>
        <w:rPr>
          <w:bCs/>
          <w:sz w:val="20"/>
          <w:szCs w:val="20"/>
        </w:rPr>
        <w:t>konkursy horyzontalne (OSI)</w:t>
      </w:r>
      <w:r w:rsidRPr="00837E50">
        <w:rPr>
          <w:bCs/>
          <w:sz w:val="20"/>
          <w:szCs w:val="20"/>
        </w:rPr>
        <w:t>, Schemat 1.3 C.2 Doradztwo dla MSP – projekty grantowe IOB</w:t>
      </w:r>
      <w:r w:rsidRPr="00837E50">
        <w:rPr>
          <w:b/>
          <w:bCs/>
          <w:sz w:val="20"/>
          <w:szCs w:val="20"/>
        </w:rPr>
        <w:t xml:space="preserve"> </w:t>
      </w:r>
      <w:r w:rsidRPr="00837E50">
        <w:rPr>
          <w:sz w:val="20"/>
          <w:szCs w:val="20"/>
        </w:rPr>
        <w:t xml:space="preserve">przez </w:t>
      </w:r>
      <w:r w:rsidR="00643BFC" w:rsidRPr="00837E50">
        <w:rPr>
          <w:sz w:val="20"/>
          <w:szCs w:val="20"/>
        </w:rPr>
        <w:t>Sudecką Izbą Przemys</w:t>
      </w:r>
      <w:r w:rsidR="00643BFC">
        <w:rPr>
          <w:sz w:val="20"/>
          <w:szCs w:val="20"/>
        </w:rPr>
        <w:t>łowo</w:t>
      </w:r>
      <w:r w:rsidR="00DE2896">
        <w:rPr>
          <w:sz w:val="20"/>
          <w:szCs w:val="20"/>
        </w:rPr>
        <w:t xml:space="preserve"> </w:t>
      </w:r>
      <w:r w:rsidR="00643BFC">
        <w:rPr>
          <w:sz w:val="20"/>
          <w:szCs w:val="20"/>
        </w:rPr>
        <w:t>-</w:t>
      </w:r>
      <w:r w:rsidR="00DE2896">
        <w:rPr>
          <w:sz w:val="20"/>
          <w:szCs w:val="20"/>
        </w:rPr>
        <w:t xml:space="preserve"> </w:t>
      </w:r>
      <w:r w:rsidR="00643BFC">
        <w:rPr>
          <w:sz w:val="20"/>
          <w:szCs w:val="20"/>
        </w:rPr>
        <w:t xml:space="preserve">Handlową w Świdnicy w partnerstwie z </w:t>
      </w:r>
      <w:r w:rsidRPr="00837E50">
        <w:rPr>
          <w:sz w:val="20"/>
          <w:szCs w:val="20"/>
        </w:rPr>
        <w:t>Dolnośląski</w:t>
      </w:r>
      <w:r w:rsidR="00643BFC">
        <w:rPr>
          <w:sz w:val="20"/>
          <w:szCs w:val="20"/>
        </w:rPr>
        <w:t>m</w:t>
      </w:r>
      <w:r w:rsidRPr="00837E50">
        <w:rPr>
          <w:sz w:val="20"/>
          <w:szCs w:val="20"/>
        </w:rPr>
        <w:t xml:space="preserve"> Fundusz</w:t>
      </w:r>
      <w:r w:rsidR="00643BFC">
        <w:rPr>
          <w:sz w:val="20"/>
          <w:szCs w:val="20"/>
        </w:rPr>
        <w:t>em</w:t>
      </w:r>
      <w:r w:rsidRPr="00837E50">
        <w:rPr>
          <w:sz w:val="20"/>
          <w:szCs w:val="20"/>
        </w:rPr>
        <w:t xml:space="preserve"> Gospodarczy</w:t>
      </w:r>
      <w:r w:rsidR="00643BFC">
        <w:rPr>
          <w:sz w:val="20"/>
          <w:szCs w:val="20"/>
        </w:rPr>
        <w:t>m</w:t>
      </w:r>
      <w:r w:rsidRPr="00837E50">
        <w:rPr>
          <w:sz w:val="20"/>
          <w:szCs w:val="20"/>
        </w:rPr>
        <w:t xml:space="preserve"> Sp. z o.o. z siedzibą we Wrocławiu </w:t>
      </w:r>
      <w:r w:rsidR="00643BFC">
        <w:rPr>
          <w:sz w:val="20"/>
          <w:szCs w:val="20"/>
        </w:rPr>
        <w:t>oraz</w:t>
      </w:r>
      <w:r w:rsidRPr="00837E50">
        <w:rPr>
          <w:sz w:val="20"/>
          <w:szCs w:val="20"/>
        </w:rPr>
        <w:t xml:space="preserve"> Sudeckim Instytutem Rozwoju Regional</w:t>
      </w:r>
      <w:r w:rsidR="00643BFC">
        <w:rPr>
          <w:sz w:val="20"/>
          <w:szCs w:val="20"/>
        </w:rPr>
        <w:t>nego z siedzibą w Świdnicy.</w:t>
      </w:r>
    </w:p>
    <w:p w:rsidR="006F0921" w:rsidRPr="006F0921" w:rsidRDefault="009273D3" w:rsidP="006F0921">
      <w:pPr>
        <w:jc w:val="center"/>
        <w:rPr>
          <w:b/>
          <w:sz w:val="20"/>
          <w:szCs w:val="20"/>
        </w:rPr>
      </w:pPr>
      <w:r w:rsidRPr="00837E50">
        <w:rPr>
          <w:b/>
          <w:sz w:val="20"/>
          <w:szCs w:val="20"/>
        </w:rPr>
        <w:t>Forma,</w:t>
      </w:r>
      <w:r w:rsidR="00005198" w:rsidRPr="00837E50">
        <w:rPr>
          <w:b/>
          <w:sz w:val="20"/>
          <w:szCs w:val="20"/>
        </w:rPr>
        <w:t xml:space="preserve"> termin oraz miejsce składania W</w:t>
      </w:r>
      <w:r w:rsidRPr="00837E50">
        <w:rPr>
          <w:b/>
          <w:sz w:val="20"/>
          <w:szCs w:val="20"/>
        </w:rPr>
        <w:t>niosków:</w:t>
      </w:r>
    </w:p>
    <w:p w:rsidR="00DE2896" w:rsidRDefault="0098627D" w:rsidP="0098627D">
      <w:pPr>
        <w:jc w:val="both"/>
        <w:rPr>
          <w:sz w:val="20"/>
          <w:szCs w:val="20"/>
        </w:rPr>
      </w:pPr>
      <w:r w:rsidRPr="0098627D">
        <w:rPr>
          <w:sz w:val="20"/>
          <w:szCs w:val="20"/>
        </w:rPr>
        <w:t xml:space="preserve">Nabór prowadzony będzie w formie otwartej, co oznacza, że przyjmowanie i ocena Wniosków będzie prowadzona na bieżąco zgodnie z kolejnością ich wpływu. Wnioski o udzielenie Grantu wraz z załącznikami wypełnione zgodnie z wzorami udostępnionymi przez </w:t>
      </w:r>
      <w:proofErr w:type="spellStart"/>
      <w:r w:rsidRPr="0098627D">
        <w:rPr>
          <w:sz w:val="20"/>
          <w:szCs w:val="20"/>
        </w:rPr>
        <w:t>Grantodawcę</w:t>
      </w:r>
      <w:proofErr w:type="spellEnd"/>
      <w:r w:rsidRPr="0098627D">
        <w:rPr>
          <w:sz w:val="20"/>
          <w:szCs w:val="20"/>
        </w:rPr>
        <w:t xml:space="preserve"> </w:t>
      </w:r>
      <w:r w:rsidR="00DE2896" w:rsidRPr="0098627D">
        <w:rPr>
          <w:sz w:val="20"/>
          <w:szCs w:val="20"/>
        </w:rPr>
        <w:t xml:space="preserve">na stronie </w:t>
      </w:r>
      <w:hyperlink r:id="rId7" w:history="1">
        <w:r w:rsidR="00DE2896" w:rsidRPr="007B31DE">
          <w:rPr>
            <w:rStyle w:val="Hipercze"/>
            <w:sz w:val="20"/>
            <w:szCs w:val="20"/>
          </w:rPr>
          <w:t>www.siph.pl</w:t>
        </w:r>
      </w:hyperlink>
      <w:r w:rsidR="00DE2896" w:rsidRPr="00DE2896">
        <w:rPr>
          <w:rStyle w:val="Hipercze"/>
          <w:sz w:val="20"/>
          <w:szCs w:val="20"/>
          <w:u w:val="none"/>
        </w:rPr>
        <w:t xml:space="preserve"> </w:t>
      </w:r>
      <w:r w:rsidR="00DE2896" w:rsidRPr="00DE2896">
        <w:rPr>
          <w:sz w:val="20"/>
          <w:szCs w:val="20"/>
        </w:rPr>
        <w:t xml:space="preserve">(zakładka granty, IORW V Nabór) </w:t>
      </w:r>
      <w:r w:rsidRPr="0098627D">
        <w:rPr>
          <w:sz w:val="20"/>
          <w:szCs w:val="20"/>
        </w:rPr>
        <w:t xml:space="preserve">należy składać </w:t>
      </w:r>
      <w:r w:rsidR="00DE2896">
        <w:rPr>
          <w:sz w:val="20"/>
          <w:szCs w:val="20"/>
        </w:rPr>
        <w:t>w siedzibie Sudeckiej Izby Przemysłowo-Handlowej, osobiście lub za pośrednictwem poczty, w terminie do dnia 19.08.2019, do godz. 9.00 (decyduje data i godzina złożenia w siedzibie SIPH)</w:t>
      </w:r>
      <w:r w:rsidR="00EB480A">
        <w:rPr>
          <w:sz w:val="20"/>
          <w:szCs w:val="20"/>
        </w:rPr>
        <w:t>.</w:t>
      </w:r>
    </w:p>
    <w:p w:rsidR="0098627D" w:rsidRDefault="00EB480A" w:rsidP="006F0921">
      <w:pPr>
        <w:jc w:val="both"/>
        <w:rPr>
          <w:b/>
          <w:sz w:val="20"/>
          <w:szCs w:val="20"/>
          <w:u w:val="single"/>
        </w:rPr>
      </w:pPr>
      <w:r>
        <w:rPr>
          <w:sz w:val="20"/>
          <w:szCs w:val="20"/>
        </w:rPr>
        <w:t>Z</w:t>
      </w:r>
      <w:r w:rsidR="008F5509" w:rsidRPr="00140044">
        <w:rPr>
          <w:sz w:val="20"/>
          <w:szCs w:val="20"/>
        </w:rPr>
        <w:t>godnie z zapisami § 8 ust.</w:t>
      </w:r>
      <w:r w:rsidR="006F0921" w:rsidRPr="00140044">
        <w:rPr>
          <w:sz w:val="20"/>
          <w:szCs w:val="20"/>
        </w:rPr>
        <w:t xml:space="preserve">3 Regulaminu udzielania Grantów w ramach Projektu „Wsparcie mikro, małych i średnich przedsiębiorstw </w:t>
      </w:r>
      <w:r>
        <w:rPr>
          <w:sz w:val="20"/>
          <w:szCs w:val="20"/>
        </w:rPr>
        <w:t>Równiny Wrocławskiej</w:t>
      </w:r>
      <w:r w:rsidR="006F0921" w:rsidRPr="00140044">
        <w:rPr>
          <w:sz w:val="20"/>
          <w:szCs w:val="20"/>
        </w:rPr>
        <w:t xml:space="preserve">” za dzień </w:t>
      </w:r>
      <w:r w:rsidR="00013F48" w:rsidRPr="00140044">
        <w:rPr>
          <w:sz w:val="20"/>
          <w:szCs w:val="20"/>
        </w:rPr>
        <w:t>złożenia</w:t>
      </w:r>
      <w:r w:rsidR="006F0921" w:rsidRPr="00140044">
        <w:rPr>
          <w:sz w:val="20"/>
          <w:szCs w:val="20"/>
        </w:rPr>
        <w:t xml:space="preserve"> Wniosku przyjmuje się dzień wpływu oryginałów dokumentów (wersja papierowa) do siedziby </w:t>
      </w:r>
      <w:proofErr w:type="spellStart"/>
      <w:r w:rsidR="006F0921" w:rsidRPr="00140044">
        <w:rPr>
          <w:sz w:val="20"/>
          <w:szCs w:val="20"/>
        </w:rPr>
        <w:t>Grantodawcy</w:t>
      </w:r>
      <w:proofErr w:type="spellEnd"/>
      <w:r w:rsidR="006F0921" w:rsidRPr="00140044">
        <w:rPr>
          <w:sz w:val="20"/>
          <w:szCs w:val="20"/>
        </w:rPr>
        <w:t xml:space="preserve">/Partnera </w:t>
      </w:r>
      <w:proofErr w:type="spellStart"/>
      <w:r w:rsidR="006F0921" w:rsidRPr="00140044">
        <w:rPr>
          <w:sz w:val="20"/>
          <w:szCs w:val="20"/>
        </w:rPr>
        <w:t>Grantodawcy</w:t>
      </w:r>
      <w:proofErr w:type="spellEnd"/>
      <w:r w:rsidR="009C698A" w:rsidRPr="00140044">
        <w:rPr>
          <w:sz w:val="20"/>
          <w:szCs w:val="20"/>
        </w:rPr>
        <w:t>.</w:t>
      </w:r>
      <w:r w:rsidR="009C698A" w:rsidRPr="00140044">
        <w:rPr>
          <w:b/>
          <w:sz w:val="20"/>
          <w:szCs w:val="20"/>
        </w:rPr>
        <w:t xml:space="preserve">  </w:t>
      </w:r>
    </w:p>
    <w:p w:rsidR="00B00634" w:rsidRDefault="00B00634" w:rsidP="006F0921">
      <w:pPr>
        <w:jc w:val="both"/>
        <w:rPr>
          <w:sz w:val="20"/>
          <w:szCs w:val="20"/>
        </w:rPr>
      </w:pPr>
      <w:r w:rsidRPr="00B00634">
        <w:rPr>
          <w:sz w:val="20"/>
          <w:szCs w:val="20"/>
        </w:rPr>
        <w:t>O zamknięciu</w:t>
      </w:r>
      <w:r>
        <w:rPr>
          <w:sz w:val="20"/>
          <w:szCs w:val="20"/>
        </w:rPr>
        <w:t xml:space="preserve"> n</w:t>
      </w:r>
      <w:r w:rsidRPr="00B00634">
        <w:rPr>
          <w:sz w:val="20"/>
          <w:szCs w:val="20"/>
        </w:rPr>
        <w:t xml:space="preserve">aboru </w:t>
      </w:r>
      <w:r w:rsidR="00643BFC">
        <w:rPr>
          <w:sz w:val="20"/>
          <w:szCs w:val="20"/>
        </w:rPr>
        <w:t>Sudecka Izba Przemysłowo-Handlowa</w:t>
      </w:r>
      <w:r w:rsidRPr="00B00634">
        <w:rPr>
          <w:sz w:val="20"/>
          <w:szCs w:val="20"/>
        </w:rPr>
        <w:t xml:space="preserve"> powiadomi na stronie internetowej </w:t>
      </w:r>
      <w:hyperlink r:id="rId8" w:history="1">
        <w:r w:rsidR="00643BFC" w:rsidRPr="007B31DE">
          <w:rPr>
            <w:rStyle w:val="Hipercze"/>
            <w:sz w:val="20"/>
            <w:szCs w:val="20"/>
          </w:rPr>
          <w:t>www.siph.pl</w:t>
        </w:r>
      </w:hyperlink>
      <w:r w:rsidR="00643BFC">
        <w:rPr>
          <w:sz w:val="20"/>
          <w:szCs w:val="20"/>
        </w:rPr>
        <w:t xml:space="preserve"> </w:t>
      </w:r>
      <w:r>
        <w:rPr>
          <w:sz w:val="20"/>
          <w:szCs w:val="20"/>
        </w:rPr>
        <w:t xml:space="preserve"> co najmniej </w:t>
      </w:r>
      <w:r w:rsidR="008639E6">
        <w:rPr>
          <w:sz w:val="20"/>
          <w:szCs w:val="20"/>
        </w:rPr>
        <w:t>5</w:t>
      </w:r>
      <w:r w:rsidRPr="00617352">
        <w:rPr>
          <w:sz w:val="20"/>
          <w:szCs w:val="20"/>
        </w:rPr>
        <w:t xml:space="preserve"> dni </w:t>
      </w:r>
      <w:r w:rsidRPr="00B00634">
        <w:rPr>
          <w:sz w:val="20"/>
          <w:szCs w:val="20"/>
        </w:rPr>
        <w:t>przed planowanym terminem zamknięcia Naboru</w:t>
      </w:r>
      <w:r w:rsidR="008639E6">
        <w:rPr>
          <w:sz w:val="20"/>
          <w:szCs w:val="20"/>
        </w:rPr>
        <w:t xml:space="preserve"> lub po przekroczeniu 120% alokacji</w:t>
      </w:r>
      <w:r w:rsidRPr="00B00634">
        <w:rPr>
          <w:sz w:val="20"/>
          <w:szCs w:val="20"/>
        </w:rPr>
        <w:t>.</w:t>
      </w:r>
    </w:p>
    <w:p w:rsidR="006F0921" w:rsidRPr="0098627D" w:rsidRDefault="006F0921" w:rsidP="006F0921">
      <w:pPr>
        <w:jc w:val="both"/>
        <w:rPr>
          <w:b/>
          <w:sz w:val="20"/>
          <w:szCs w:val="20"/>
          <w:u w:val="single"/>
        </w:rPr>
      </w:pPr>
      <w:r w:rsidRPr="002A31D0">
        <w:rPr>
          <w:sz w:val="20"/>
          <w:szCs w:val="20"/>
        </w:rPr>
        <w:t xml:space="preserve"> Rada Partnerstwa podjęła decyzję o ustaleniu wysokości alokac</w:t>
      </w:r>
      <w:r w:rsidR="001805F7">
        <w:rPr>
          <w:sz w:val="20"/>
          <w:szCs w:val="20"/>
        </w:rPr>
        <w:t>ji dla Projektu nr RPDS.01.03</w:t>
      </w:r>
      <w:r w:rsidR="00B32A83">
        <w:rPr>
          <w:sz w:val="20"/>
          <w:szCs w:val="20"/>
        </w:rPr>
        <w:t>.01-02-001</w:t>
      </w:r>
      <w:r w:rsidR="008639E6">
        <w:rPr>
          <w:sz w:val="20"/>
          <w:szCs w:val="20"/>
        </w:rPr>
        <w:t>3</w:t>
      </w:r>
      <w:r w:rsidRPr="002A31D0">
        <w:rPr>
          <w:sz w:val="20"/>
          <w:szCs w:val="20"/>
        </w:rPr>
        <w:t xml:space="preserve">/17 w </w:t>
      </w:r>
      <w:r w:rsidR="008639E6">
        <w:rPr>
          <w:sz w:val="20"/>
          <w:szCs w:val="20"/>
        </w:rPr>
        <w:t>piątym</w:t>
      </w:r>
      <w:r w:rsidRPr="002A31D0">
        <w:rPr>
          <w:sz w:val="20"/>
          <w:szCs w:val="20"/>
        </w:rPr>
        <w:t xml:space="preserve"> Naborze na kwotę </w:t>
      </w:r>
      <w:r w:rsidR="008639E6">
        <w:rPr>
          <w:b/>
          <w:sz w:val="20"/>
          <w:szCs w:val="20"/>
        </w:rPr>
        <w:t>170 255,-</w:t>
      </w:r>
      <w:r w:rsidR="00030B6E" w:rsidRPr="00617352">
        <w:rPr>
          <w:b/>
          <w:sz w:val="20"/>
          <w:szCs w:val="20"/>
        </w:rPr>
        <w:t xml:space="preserve"> zł</w:t>
      </w:r>
      <w:r w:rsidR="00630328" w:rsidRPr="00617352">
        <w:rPr>
          <w:sz w:val="20"/>
          <w:szCs w:val="20"/>
        </w:rPr>
        <w:t>,</w:t>
      </w:r>
      <w:r w:rsidR="00630328" w:rsidRPr="0098627D">
        <w:rPr>
          <w:b/>
          <w:bCs/>
          <w:color w:val="FF0000"/>
        </w:rPr>
        <w:t xml:space="preserve"> </w:t>
      </w:r>
      <w:r w:rsidRPr="002A31D0">
        <w:rPr>
          <w:sz w:val="20"/>
          <w:szCs w:val="20"/>
        </w:rPr>
        <w:t xml:space="preserve">w tym dla </w:t>
      </w:r>
      <w:r w:rsidR="00643BFC">
        <w:rPr>
          <w:sz w:val="20"/>
          <w:szCs w:val="20"/>
        </w:rPr>
        <w:t>Sudeckiej Izby Przemysłowo-Handlowej</w:t>
      </w:r>
      <w:r w:rsidRPr="002A31D0">
        <w:rPr>
          <w:sz w:val="20"/>
          <w:szCs w:val="20"/>
        </w:rPr>
        <w:t xml:space="preserve"> przypada kwota </w:t>
      </w:r>
      <w:r w:rsidR="008639E6">
        <w:rPr>
          <w:b/>
          <w:sz w:val="20"/>
          <w:szCs w:val="20"/>
        </w:rPr>
        <w:t>170 255,-</w:t>
      </w:r>
      <w:r w:rsidR="00785C86" w:rsidRPr="00617352">
        <w:rPr>
          <w:b/>
          <w:sz w:val="20"/>
          <w:szCs w:val="20"/>
        </w:rPr>
        <w:t xml:space="preserve"> zł</w:t>
      </w:r>
      <w:r w:rsidR="00785C86">
        <w:rPr>
          <w:sz w:val="20"/>
          <w:szCs w:val="20"/>
        </w:rPr>
        <w:t xml:space="preserve">. </w:t>
      </w:r>
      <w:r w:rsidR="00F42DC3">
        <w:rPr>
          <w:sz w:val="20"/>
          <w:szCs w:val="20"/>
        </w:rPr>
        <w:t>O zamknięciu N</w:t>
      </w:r>
      <w:r w:rsidRPr="002A31D0">
        <w:rPr>
          <w:sz w:val="20"/>
          <w:szCs w:val="20"/>
        </w:rPr>
        <w:t xml:space="preserve">aboru </w:t>
      </w:r>
      <w:r w:rsidR="00643BFC">
        <w:rPr>
          <w:sz w:val="20"/>
          <w:szCs w:val="20"/>
        </w:rPr>
        <w:t>Sudecka Izba Przemysłowo-Handlowa</w:t>
      </w:r>
      <w:r w:rsidRPr="002A31D0">
        <w:rPr>
          <w:sz w:val="20"/>
          <w:szCs w:val="20"/>
        </w:rPr>
        <w:t xml:space="preserve"> powiadomi na stronie internetowej </w:t>
      </w:r>
      <w:hyperlink r:id="rId9" w:history="1">
        <w:r w:rsidR="00643BFC" w:rsidRPr="007B31DE">
          <w:rPr>
            <w:rStyle w:val="Hipercze"/>
            <w:sz w:val="20"/>
            <w:szCs w:val="20"/>
          </w:rPr>
          <w:t>www.siph.pl</w:t>
        </w:r>
      </w:hyperlink>
    </w:p>
    <w:p w:rsidR="006F0921" w:rsidRDefault="006F0921" w:rsidP="00005198">
      <w:pPr>
        <w:jc w:val="both"/>
        <w:rPr>
          <w:sz w:val="20"/>
          <w:szCs w:val="20"/>
        </w:rPr>
      </w:pPr>
    </w:p>
    <w:p w:rsidR="00785C86" w:rsidRDefault="00785C86" w:rsidP="00005198">
      <w:pPr>
        <w:jc w:val="both"/>
        <w:rPr>
          <w:sz w:val="20"/>
          <w:szCs w:val="20"/>
        </w:rPr>
      </w:pPr>
    </w:p>
    <w:p w:rsidR="00643BFC" w:rsidRPr="00643BFC" w:rsidRDefault="00643BFC" w:rsidP="00643BFC">
      <w:pPr>
        <w:pStyle w:val="Nagwek11"/>
        <w:spacing w:before="62"/>
        <w:ind w:left="116"/>
        <w:jc w:val="left"/>
        <w:rPr>
          <w:rFonts w:asciiTheme="minorHAnsi" w:hAnsiTheme="minorHAnsi"/>
        </w:rPr>
      </w:pPr>
      <w:r w:rsidRPr="00643BFC">
        <w:rPr>
          <w:rFonts w:asciiTheme="minorHAnsi" w:hAnsiTheme="minorHAnsi"/>
          <w:w w:val="95"/>
        </w:rPr>
        <w:t>Biuro Projektu:</w:t>
      </w:r>
    </w:p>
    <w:p w:rsidR="00643BFC" w:rsidRPr="00643BFC" w:rsidRDefault="00643BFC" w:rsidP="00643BFC">
      <w:pPr>
        <w:pStyle w:val="Tekstpodstawowy"/>
        <w:spacing w:before="6"/>
        <w:rPr>
          <w:rFonts w:asciiTheme="minorHAnsi" w:hAnsiTheme="minorHAnsi"/>
          <w:b/>
          <w:sz w:val="16"/>
        </w:rPr>
      </w:pPr>
    </w:p>
    <w:p w:rsidR="00643BFC" w:rsidRPr="00643BFC" w:rsidRDefault="00643BFC" w:rsidP="00643BFC">
      <w:pPr>
        <w:pStyle w:val="Tekstpodstawowy"/>
        <w:spacing w:line="254" w:lineRule="auto"/>
        <w:ind w:left="116" w:right="5831"/>
        <w:rPr>
          <w:rFonts w:asciiTheme="minorHAnsi" w:hAnsiTheme="minorHAnsi"/>
        </w:rPr>
      </w:pPr>
      <w:r w:rsidRPr="00643BFC">
        <w:rPr>
          <w:rFonts w:asciiTheme="minorHAnsi" w:hAnsiTheme="minorHAnsi"/>
          <w:w w:val="90"/>
        </w:rPr>
        <w:t xml:space="preserve">Sudecka Izba Przemysłowo - Handlowa </w:t>
      </w:r>
      <w:r w:rsidRPr="00643BFC">
        <w:rPr>
          <w:rFonts w:asciiTheme="minorHAnsi" w:hAnsiTheme="minorHAnsi"/>
        </w:rPr>
        <w:t>ul. Rynek 1 A</w:t>
      </w:r>
    </w:p>
    <w:p w:rsidR="00643BFC" w:rsidRPr="00643BFC" w:rsidRDefault="00643BFC" w:rsidP="00643BFC">
      <w:pPr>
        <w:pStyle w:val="Akapitzlist"/>
        <w:widowControl w:val="0"/>
        <w:numPr>
          <w:ilvl w:val="1"/>
          <w:numId w:val="5"/>
        </w:numPr>
        <w:tabs>
          <w:tab w:val="left" w:pos="728"/>
        </w:tabs>
        <w:autoSpaceDE w:val="0"/>
        <w:autoSpaceDN w:val="0"/>
        <w:spacing w:before="93" w:after="0" w:line="240" w:lineRule="auto"/>
        <w:ind w:hanging="611"/>
        <w:contextualSpacing w:val="0"/>
        <w:rPr>
          <w:sz w:val="20"/>
        </w:rPr>
      </w:pPr>
      <w:r w:rsidRPr="00643BFC">
        <w:rPr>
          <w:sz w:val="20"/>
        </w:rPr>
        <w:t>Świdnica,</w:t>
      </w:r>
    </w:p>
    <w:p w:rsidR="00643BFC" w:rsidRPr="00643BFC" w:rsidRDefault="00643BFC" w:rsidP="00643BFC">
      <w:pPr>
        <w:pStyle w:val="Tekstpodstawowy"/>
        <w:spacing w:before="13"/>
        <w:ind w:left="116"/>
        <w:rPr>
          <w:rFonts w:asciiTheme="minorHAnsi" w:hAnsiTheme="minorHAnsi"/>
        </w:rPr>
      </w:pPr>
      <w:r w:rsidRPr="00643BFC">
        <w:rPr>
          <w:rFonts w:asciiTheme="minorHAnsi" w:hAnsiTheme="minorHAnsi"/>
        </w:rPr>
        <w:t>tel. 74 853 50 09</w:t>
      </w:r>
    </w:p>
    <w:p w:rsidR="00643BFC" w:rsidRPr="00643BFC" w:rsidRDefault="00643BFC" w:rsidP="00643BFC">
      <w:pPr>
        <w:pStyle w:val="Tekstpodstawowy"/>
        <w:spacing w:before="14" w:line="254" w:lineRule="auto"/>
        <w:ind w:left="116" w:right="6333"/>
        <w:rPr>
          <w:rFonts w:asciiTheme="minorHAnsi" w:hAnsiTheme="minorHAnsi"/>
          <w:lang w:val="en-US"/>
        </w:rPr>
      </w:pPr>
      <w:r w:rsidRPr="00643BFC">
        <w:rPr>
          <w:rFonts w:asciiTheme="minorHAnsi" w:hAnsiTheme="minorHAnsi"/>
          <w:w w:val="90"/>
          <w:lang w:val="en-US"/>
        </w:rPr>
        <w:t xml:space="preserve">E-mail: </w:t>
      </w:r>
      <w:hyperlink r:id="rId10">
        <w:r w:rsidRPr="00643BFC">
          <w:rPr>
            <w:rFonts w:asciiTheme="minorHAnsi" w:hAnsiTheme="minorHAnsi"/>
            <w:color w:val="0000FF"/>
            <w:w w:val="90"/>
            <w:u w:val="single" w:color="0000FF"/>
            <w:lang w:val="en-US"/>
          </w:rPr>
          <w:t>granty@siph.pl</w:t>
        </w:r>
      </w:hyperlink>
      <w:r w:rsidRPr="00643BFC">
        <w:rPr>
          <w:rFonts w:asciiTheme="minorHAnsi" w:hAnsiTheme="minorHAnsi"/>
          <w:color w:val="0000FF"/>
          <w:w w:val="90"/>
          <w:lang w:val="en-US"/>
        </w:rPr>
        <w:t xml:space="preserve"> </w:t>
      </w:r>
      <w:hyperlink r:id="rId11">
        <w:r w:rsidRPr="00643BFC">
          <w:rPr>
            <w:rFonts w:asciiTheme="minorHAnsi" w:hAnsiTheme="minorHAnsi"/>
            <w:color w:val="0000FF"/>
            <w:u w:val="single" w:color="0000FF"/>
            <w:lang w:val="en-US"/>
          </w:rPr>
          <w:t>www.siph.pl</w:t>
        </w:r>
      </w:hyperlink>
    </w:p>
    <w:p w:rsidR="00643BFC" w:rsidRPr="00643BFC" w:rsidRDefault="00643BFC" w:rsidP="00643BFC">
      <w:pPr>
        <w:pStyle w:val="Tekstpodstawowy"/>
        <w:spacing w:before="1"/>
        <w:rPr>
          <w:rFonts w:asciiTheme="minorHAnsi" w:hAnsiTheme="minorHAnsi"/>
          <w:sz w:val="10"/>
          <w:lang w:val="en-US"/>
        </w:rPr>
      </w:pPr>
    </w:p>
    <w:p w:rsidR="00643BFC" w:rsidRPr="00643BFC" w:rsidRDefault="00643BFC" w:rsidP="00643BFC">
      <w:pPr>
        <w:pStyle w:val="Tekstpodstawowy"/>
        <w:spacing w:before="62"/>
        <w:ind w:left="116"/>
        <w:rPr>
          <w:rFonts w:asciiTheme="minorHAnsi" w:hAnsiTheme="minorHAnsi"/>
        </w:rPr>
      </w:pPr>
      <w:r w:rsidRPr="00643BFC">
        <w:rPr>
          <w:rFonts w:asciiTheme="minorHAnsi" w:hAnsiTheme="minorHAnsi"/>
        </w:rPr>
        <w:t>Biuro czynne: pn.- pt. 08:00-16:00</w:t>
      </w:r>
    </w:p>
    <w:p w:rsidR="00643BFC" w:rsidRDefault="00643BFC" w:rsidP="00643BFC">
      <w:pPr>
        <w:pStyle w:val="Tekstpodstawowy"/>
        <w:spacing w:before="1"/>
        <w:rPr>
          <w:sz w:val="11"/>
        </w:rPr>
      </w:pPr>
    </w:p>
    <w:p w:rsidR="009273D3" w:rsidRPr="00837E50" w:rsidRDefault="00005198" w:rsidP="009273D3">
      <w:pPr>
        <w:jc w:val="center"/>
        <w:rPr>
          <w:b/>
          <w:sz w:val="20"/>
          <w:szCs w:val="20"/>
        </w:rPr>
      </w:pPr>
      <w:r w:rsidRPr="00837E50">
        <w:rPr>
          <w:b/>
          <w:sz w:val="20"/>
          <w:szCs w:val="20"/>
        </w:rPr>
        <w:t>Cel i przedmiot P</w:t>
      </w:r>
      <w:r w:rsidR="009273D3" w:rsidRPr="00837E50">
        <w:rPr>
          <w:b/>
          <w:sz w:val="20"/>
          <w:szCs w:val="20"/>
        </w:rPr>
        <w:t>rojektu:</w:t>
      </w:r>
    </w:p>
    <w:p w:rsidR="00011BA6" w:rsidRDefault="00011BA6" w:rsidP="00011BA6">
      <w:pPr>
        <w:contextualSpacing/>
        <w:jc w:val="both"/>
        <w:rPr>
          <w:sz w:val="20"/>
          <w:szCs w:val="20"/>
        </w:rPr>
      </w:pPr>
      <w:r w:rsidRPr="00837E50">
        <w:rPr>
          <w:sz w:val="20"/>
          <w:szCs w:val="20"/>
        </w:rPr>
        <w:t xml:space="preserve">Celem głównym Projektu jest wsparcie przedsiębiorczości i stworzenie lepszych warunków do rozwoju sektora mikro, małych i średnich przedsiębiorstw (MSP) </w:t>
      </w:r>
      <w:r w:rsidRPr="001C16B1">
        <w:rPr>
          <w:sz w:val="20"/>
          <w:szCs w:val="20"/>
        </w:rPr>
        <w:t xml:space="preserve">na terenie </w:t>
      </w:r>
      <w:r w:rsidR="00C54166">
        <w:rPr>
          <w:sz w:val="20"/>
          <w:szCs w:val="20"/>
        </w:rPr>
        <w:t>Równiny Wrocławskiej</w:t>
      </w:r>
      <w:r w:rsidRPr="00837E50">
        <w:rPr>
          <w:sz w:val="20"/>
          <w:szCs w:val="20"/>
        </w:rPr>
        <w:t xml:space="preserve"> poprzez świadczenie przez </w:t>
      </w:r>
      <w:r w:rsidRPr="00837E50">
        <w:rPr>
          <w:sz w:val="20"/>
          <w:szCs w:val="20"/>
        </w:rPr>
        <w:lastRenderedPageBreak/>
        <w:t xml:space="preserve">Instytucje Otoczenia Biznesu (IOB) Usług doradczych na rzecz 61 mikro, małych i średnich przedsiębiorstw (w tym znajdujących się we wczesnej fazie rozwoju do 24 miesięcy), posiadających </w:t>
      </w:r>
      <w:r>
        <w:rPr>
          <w:sz w:val="20"/>
          <w:szCs w:val="20"/>
        </w:rPr>
        <w:t>co najmniej zakład lub oddział</w:t>
      </w:r>
      <w:r>
        <w:rPr>
          <w:rFonts w:ascii="Arial" w:hAnsi="Arial" w:cs="Arial"/>
          <w:color w:val="000000"/>
          <w:sz w:val="20"/>
          <w:szCs w:val="20"/>
          <w:shd w:val="clear" w:color="auto" w:fill="FFFFFF"/>
        </w:rPr>
        <w:t> </w:t>
      </w:r>
      <w:r>
        <w:rPr>
          <w:sz w:val="20"/>
          <w:szCs w:val="20"/>
        </w:rPr>
        <w:t xml:space="preserve">na </w:t>
      </w:r>
      <w:r w:rsidRPr="001C16B1">
        <w:rPr>
          <w:sz w:val="20"/>
          <w:szCs w:val="20"/>
        </w:rPr>
        <w:t>terenie </w:t>
      </w:r>
      <w:r w:rsidRPr="001C16B1">
        <w:rPr>
          <w:bCs/>
          <w:sz w:val="20"/>
          <w:szCs w:val="20"/>
        </w:rPr>
        <w:t>OSI</w:t>
      </w:r>
      <w:r w:rsidR="00C54166">
        <w:rPr>
          <w:bCs/>
          <w:sz w:val="20"/>
          <w:szCs w:val="20"/>
        </w:rPr>
        <w:t xml:space="preserve"> </w:t>
      </w:r>
      <w:r w:rsidRPr="001C16B1">
        <w:rPr>
          <w:sz w:val="20"/>
          <w:szCs w:val="20"/>
        </w:rPr>
        <w:t> obejmującego</w:t>
      </w:r>
      <w:r w:rsidR="00C54166">
        <w:rPr>
          <w:sz w:val="20"/>
          <w:szCs w:val="20"/>
        </w:rPr>
        <w:t xml:space="preserve"> Obszar </w:t>
      </w:r>
      <w:proofErr w:type="spellStart"/>
      <w:r w:rsidR="00C54166">
        <w:rPr>
          <w:sz w:val="20"/>
          <w:szCs w:val="20"/>
        </w:rPr>
        <w:t>Intwerwencji</w:t>
      </w:r>
      <w:proofErr w:type="spellEnd"/>
      <w:r w:rsidRPr="001C16B1">
        <w:rPr>
          <w:sz w:val="20"/>
          <w:szCs w:val="20"/>
        </w:rPr>
        <w:t> </w:t>
      </w:r>
      <w:r w:rsidR="00C54166">
        <w:rPr>
          <w:bCs/>
          <w:sz w:val="20"/>
          <w:szCs w:val="20"/>
        </w:rPr>
        <w:t>Równiny Wrocławskiej</w:t>
      </w:r>
      <w:r w:rsidRPr="001C16B1">
        <w:rPr>
          <w:sz w:val="20"/>
          <w:szCs w:val="20"/>
        </w:rPr>
        <w:t>.</w:t>
      </w:r>
      <w:r w:rsidRPr="00837E50">
        <w:rPr>
          <w:sz w:val="20"/>
          <w:szCs w:val="20"/>
        </w:rPr>
        <w:t xml:space="preserve"> Projekt przyczynia się również do wsparcia rozwoju rynku specjalistycz</w:t>
      </w:r>
      <w:r>
        <w:rPr>
          <w:sz w:val="20"/>
          <w:szCs w:val="20"/>
        </w:rPr>
        <w:t>nych U</w:t>
      </w:r>
      <w:r w:rsidRPr="00837E50">
        <w:rPr>
          <w:sz w:val="20"/>
          <w:szCs w:val="20"/>
        </w:rPr>
        <w:t xml:space="preserve">sług doradczych dla mikro, małych i średnich przedsiębiorstw. Przedmiotem Projektu jest udzielanie przez </w:t>
      </w:r>
      <w:proofErr w:type="spellStart"/>
      <w:r w:rsidRPr="00837E50">
        <w:rPr>
          <w:sz w:val="20"/>
          <w:szCs w:val="20"/>
        </w:rPr>
        <w:t>Grantodawcę</w:t>
      </w:r>
      <w:proofErr w:type="spellEnd"/>
      <w:r w:rsidRPr="00837E50">
        <w:rPr>
          <w:sz w:val="20"/>
          <w:szCs w:val="20"/>
        </w:rPr>
        <w:t xml:space="preserve"> przedsiębiorcom z sektora MSP Grantów przeznaczonych na refundację zamówionych, wynikających z przeprowadzonej analizy potrzeb, wykonanych i zapłaconych Usług doradczych. Minimum 20% pojedynczych Grantów przekazanych zostanie przedsiębiorcom wpisującym się w specjalizacje i podobszary inteligentnych specjalizacji regionu wymienionych w dokumencie „Ramy Strategiczne na rzecz inteligentnych specjalizacji Dolnego Śląska”.</w:t>
      </w:r>
    </w:p>
    <w:p w:rsidR="00955713" w:rsidRPr="00955713" w:rsidRDefault="00955713" w:rsidP="00955713">
      <w:pPr>
        <w:contextualSpacing/>
        <w:jc w:val="both"/>
        <w:rPr>
          <w:sz w:val="20"/>
          <w:szCs w:val="20"/>
        </w:rPr>
      </w:pPr>
    </w:p>
    <w:p w:rsidR="009273D3" w:rsidRPr="00837E50" w:rsidRDefault="009273D3" w:rsidP="009273D3">
      <w:pPr>
        <w:jc w:val="center"/>
        <w:rPr>
          <w:b/>
          <w:sz w:val="20"/>
          <w:szCs w:val="20"/>
        </w:rPr>
      </w:pPr>
      <w:r w:rsidRPr="00837E50">
        <w:rPr>
          <w:b/>
          <w:sz w:val="20"/>
          <w:szCs w:val="20"/>
        </w:rPr>
        <w:t>Kata</w:t>
      </w:r>
      <w:r w:rsidR="006A3371" w:rsidRPr="00837E50">
        <w:rPr>
          <w:b/>
          <w:sz w:val="20"/>
          <w:szCs w:val="20"/>
        </w:rPr>
        <w:t xml:space="preserve">log </w:t>
      </w:r>
      <w:proofErr w:type="spellStart"/>
      <w:r w:rsidR="006A3371" w:rsidRPr="00837E50">
        <w:rPr>
          <w:b/>
          <w:sz w:val="20"/>
          <w:szCs w:val="20"/>
        </w:rPr>
        <w:t>G</w:t>
      </w:r>
      <w:r w:rsidRPr="00837E50">
        <w:rPr>
          <w:b/>
          <w:sz w:val="20"/>
          <w:szCs w:val="20"/>
        </w:rPr>
        <w:t>rantobiorców</w:t>
      </w:r>
      <w:proofErr w:type="spellEnd"/>
      <w:r w:rsidRPr="00837E50">
        <w:rPr>
          <w:b/>
          <w:sz w:val="20"/>
          <w:szCs w:val="20"/>
        </w:rPr>
        <w:t>:</w:t>
      </w:r>
    </w:p>
    <w:p w:rsidR="00842A0D" w:rsidRPr="00837E50" w:rsidRDefault="00842A0D" w:rsidP="00842A0D">
      <w:pPr>
        <w:jc w:val="both"/>
        <w:rPr>
          <w:sz w:val="20"/>
          <w:szCs w:val="20"/>
        </w:rPr>
      </w:pPr>
      <w:proofErr w:type="spellStart"/>
      <w:r w:rsidRPr="00837E50">
        <w:rPr>
          <w:sz w:val="20"/>
          <w:szCs w:val="20"/>
        </w:rPr>
        <w:t>Grantobiorcami</w:t>
      </w:r>
      <w:proofErr w:type="spellEnd"/>
      <w:r w:rsidRPr="00837E50">
        <w:rPr>
          <w:b/>
          <w:sz w:val="20"/>
          <w:szCs w:val="20"/>
        </w:rPr>
        <w:t xml:space="preserve"> </w:t>
      </w:r>
      <w:r w:rsidR="009273D3" w:rsidRPr="00837E50">
        <w:rPr>
          <w:sz w:val="20"/>
          <w:szCs w:val="20"/>
        </w:rPr>
        <w:t xml:space="preserve">mogą </w:t>
      </w:r>
      <w:r w:rsidRPr="00837E50">
        <w:rPr>
          <w:sz w:val="20"/>
          <w:szCs w:val="20"/>
        </w:rPr>
        <w:t>być</w:t>
      </w:r>
      <w:r w:rsidR="009273D3" w:rsidRPr="00837E50">
        <w:rPr>
          <w:sz w:val="20"/>
          <w:szCs w:val="20"/>
        </w:rPr>
        <w:t xml:space="preserve"> </w:t>
      </w:r>
      <w:r w:rsidRPr="00837E50">
        <w:rPr>
          <w:sz w:val="20"/>
          <w:szCs w:val="20"/>
        </w:rPr>
        <w:t>mikro, małe lub średnie</w:t>
      </w:r>
      <w:r w:rsidR="009273D3" w:rsidRPr="00837E50">
        <w:rPr>
          <w:sz w:val="20"/>
          <w:szCs w:val="20"/>
        </w:rPr>
        <w:t xml:space="preserve"> przedsiębiorstwa (MŚP), </w:t>
      </w:r>
      <w:r w:rsidRPr="00837E50">
        <w:rPr>
          <w:sz w:val="20"/>
          <w:szCs w:val="20"/>
        </w:rPr>
        <w:t xml:space="preserve">spełniające warunki </w:t>
      </w:r>
      <w:r w:rsidR="009273D3" w:rsidRPr="00837E50">
        <w:rPr>
          <w:sz w:val="20"/>
          <w:szCs w:val="20"/>
        </w:rPr>
        <w:t xml:space="preserve">określone w Załączniku I do Rozporządzenia Komisji WE Nr 651/2014 z dnia 17 czerwca 2014r. uznającego niektóre rodzaje pomocy za zgodne z rynkiem wewnętrznym w zastosowaniu art. 107 i 108 Traktatu (Dz. Urz. UE L 187 z 26.06.2014 r.). </w:t>
      </w:r>
      <w:r w:rsidR="00140044" w:rsidRPr="00140044">
        <w:rPr>
          <w:sz w:val="20"/>
          <w:szCs w:val="20"/>
        </w:rPr>
        <w:t>Jedno MŚP może złożyć jeden Wniosek o Grant.</w:t>
      </w:r>
    </w:p>
    <w:p w:rsidR="009273D3" w:rsidRPr="00837E50" w:rsidRDefault="009273D3" w:rsidP="00842A0D">
      <w:pPr>
        <w:jc w:val="both"/>
        <w:rPr>
          <w:sz w:val="20"/>
          <w:szCs w:val="20"/>
        </w:rPr>
      </w:pPr>
      <w:r w:rsidRPr="00837E50">
        <w:rPr>
          <w:sz w:val="20"/>
          <w:szCs w:val="20"/>
        </w:rPr>
        <w:t xml:space="preserve">Wsparcie </w:t>
      </w:r>
      <w:r w:rsidR="00842A0D" w:rsidRPr="00837E50">
        <w:rPr>
          <w:sz w:val="20"/>
          <w:szCs w:val="20"/>
        </w:rPr>
        <w:t xml:space="preserve">udzielone </w:t>
      </w:r>
      <w:proofErr w:type="spellStart"/>
      <w:r w:rsidR="00842A0D" w:rsidRPr="00837E50">
        <w:rPr>
          <w:sz w:val="20"/>
          <w:szCs w:val="20"/>
        </w:rPr>
        <w:t>Grantobiorcy</w:t>
      </w:r>
      <w:proofErr w:type="spellEnd"/>
      <w:r w:rsidRPr="00837E50">
        <w:rPr>
          <w:sz w:val="20"/>
          <w:szCs w:val="20"/>
        </w:rPr>
        <w:t xml:space="preserve"> stanowi pomoc </w:t>
      </w:r>
      <w:r w:rsidRPr="00837E50">
        <w:rPr>
          <w:i/>
          <w:sz w:val="20"/>
          <w:szCs w:val="20"/>
        </w:rPr>
        <w:t xml:space="preserve">de </w:t>
      </w:r>
      <w:proofErr w:type="spellStart"/>
      <w:r w:rsidRPr="00837E50">
        <w:rPr>
          <w:i/>
          <w:sz w:val="20"/>
          <w:szCs w:val="20"/>
        </w:rPr>
        <w:t>minimis</w:t>
      </w:r>
      <w:proofErr w:type="spellEnd"/>
      <w:r w:rsidR="00842A0D" w:rsidRPr="00837E50">
        <w:rPr>
          <w:sz w:val="20"/>
          <w:szCs w:val="20"/>
        </w:rPr>
        <w:t>, a złożenie W</w:t>
      </w:r>
      <w:r w:rsidRPr="00837E50">
        <w:rPr>
          <w:sz w:val="20"/>
          <w:szCs w:val="20"/>
        </w:rPr>
        <w:t xml:space="preserve">niosku o </w:t>
      </w:r>
      <w:r w:rsidR="00842A0D" w:rsidRPr="00837E50">
        <w:rPr>
          <w:sz w:val="20"/>
          <w:szCs w:val="20"/>
        </w:rPr>
        <w:t>udzielenie G</w:t>
      </w:r>
      <w:r w:rsidRPr="00837E50">
        <w:rPr>
          <w:sz w:val="20"/>
          <w:szCs w:val="20"/>
        </w:rPr>
        <w:t xml:space="preserve">rantu stanowi jednocześnie wniosek o udzielenie pomocy </w:t>
      </w:r>
      <w:r w:rsidRPr="00837E50">
        <w:rPr>
          <w:i/>
          <w:sz w:val="20"/>
          <w:szCs w:val="20"/>
        </w:rPr>
        <w:t xml:space="preserve">de </w:t>
      </w:r>
      <w:proofErr w:type="spellStart"/>
      <w:r w:rsidRPr="00837E50">
        <w:rPr>
          <w:i/>
          <w:sz w:val="20"/>
          <w:szCs w:val="20"/>
        </w:rPr>
        <w:t>minimis</w:t>
      </w:r>
      <w:proofErr w:type="spellEnd"/>
      <w:r w:rsidRPr="00837E50">
        <w:rPr>
          <w:sz w:val="20"/>
          <w:szCs w:val="20"/>
        </w:rPr>
        <w:t xml:space="preserve">. </w:t>
      </w:r>
    </w:p>
    <w:p w:rsidR="006A3371" w:rsidRPr="00837E50" w:rsidRDefault="009273D3" w:rsidP="006A3371">
      <w:pPr>
        <w:jc w:val="center"/>
        <w:rPr>
          <w:b/>
          <w:sz w:val="20"/>
          <w:szCs w:val="20"/>
        </w:rPr>
      </w:pPr>
      <w:r w:rsidRPr="00837E50">
        <w:rPr>
          <w:b/>
          <w:sz w:val="20"/>
          <w:szCs w:val="20"/>
        </w:rPr>
        <w:t xml:space="preserve">Wydatki </w:t>
      </w:r>
      <w:proofErr w:type="spellStart"/>
      <w:r w:rsidRPr="00837E50">
        <w:rPr>
          <w:b/>
          <w:sz w:val="20"/>
          <w:szCs w:val="20"/>
        </w:rPr>
        <w:t>Grantobiorcy</w:t>
      </w:r>
      <w:proofErr w:type="spellEnd"/>
      <w:r w:rsidRPr="00837E50">
        <w:rPr>
          <w:b/>
          <w:sz w:val="20"/>
          <w:szCs w:val="20"/>
        </w:rPr>
        <w:t>, które będą uzna</w:t>
      </w:r>
      <w:r w:rsidR="00842A0D" w:rsidRPr="00837E50">
        <w:rPr>
          <w:b/>
          <w:sz w:val="20"/>
          <w:szCs w:val="20"/>
        </w:rPr>
        <w:t xml:space="preserve">ne za kwalifikowane </w:t>
      </w:r>
      <w:r w:rsidR="00842A0D" w:rsidRPr="00837E50">
        <w:rPr>
          <w:b/>
          <w:sz w:val="20"/>
          <w:szCs w:val="20"/>
        </w:rPr>
        <w:br/>
        <w:t>(w ramach U</w:t>
      </w:r>
      <w:r w:rsidRPr="00837E50">
        <w:rPr>
          <w:b/>
          <w:sz w:val="20"/>
          <w:szCs w:val="20"/>
        </w:rPr>
        <w:t xml:space="preserve">mowy o </w:t>
      </w:r>
      <w:r w:rsidR="006E7103" w:rsidRPr="00837E50">
        <w:rPr>
          <w:b/>
          <w:sz w:val="20"/>
          <w:szCs w:val="20"/>
        </w:rPr>
        <w:t>powierzenie</w:t>
      </w:r>
      <w:r w:rsidR="00842A0D" w:rsidRPr="00837E50">
        <w:rPr>
          <w:b/>
          <w:sz w:val="20"/>
          <w:szCs w:val="20"/>
        </w:rPr>
        <w:t xml:space="preserve"> G</w:t>
      </w:r>
      <w:r w:rsidRPr="00837E50">
        <w:rPr>
          <w:b/>
          <w:sz w:val="20"/>
          <w:szCs w:val="20"/>
        </w:rPr>
        <w:t>rantu):</w:t>
      </w:r>
    </w:p>
    <w:p w:rsidR="009273D3" w:rsidRDefault="009273D3" w:rsidP="00A030FB">
      <w:pPr>
        <w:jc w:val="both"/>
        <w:rPr>
          <w:sz w:val="20"/>
          <w:szCs w:val="20"/>
        </w:rPr>
      </w:pPr>
      <w:r w:rsidRPr="00837E50">
        <w:rPr>
          <w:sz w:val="20"/>
          <w:szCs w:val="20"/>
        </w:rPr>
        <w:t xml:space="preserve">Wydatkiem </w:t>
      </w:r>
      <w:r w:rsidR="00A030FB" w:rsidRPr="00837E50">
        <w:rPr>
          <w:sz w:val="20"/>
          <w:szCs w:val="20"/>
        </w:rPr>
        <w:t>kwalifikowalnym w powierzonych G</w:t>
      </w:r>
      <w:r w:rsidRPr="00837E50">
        <w:rPr>
          <w:sz w:val="20"/>
          <w:szCs w:val="20"/>
        </w:rPr>
        <w:t xml:space="preserve">rantach (tj. wydatkiem, który może ponieść </w:t>
      </w:r>
      <w:proofErr w:type="spellStart"/>
      <w:r w:rsidRPr="00837E50">
        <w:rPr>
          <w:sz w:val="20"/>
          <w:szCs w:val="20"/>
        </w:rPr>
        <w:t>Grantobiorca</w:t>
      </w:r>
      <w:proofErr w:type="spellEnd"/>
      <w:r w:rsidRPr="00837E50">
        <w:rPr>
          <w:sz w:val="20"/>
          <w:szCs w:val="20"/>
        </w:rPr>
        <w:t xml:space="preserve">, </w:t>
      </w:r>
      <w:r w:rsidR="00A030FB" w:rsidRPr="00837E50">
        <w:rPr>
          <w:sz w:val="20"/>
          <w:szCs w:val="20"/>
        </w:rPr>
        <w:t>niezbędnym do celów realizacji P</w:t>
      </w:r>
      <w:r w:rsidRPr="00837E50">
        <w:rPr>
          <w:sz w:val="20"/>
          <w:szCs w:val="20"/>
        </w:rPr>
        <w:t>rojekt</w:t>
      </w:r>
      <w:r w:rsidR="00A030FB" w:rsidRPr="00837E50">
        <w:rPr>
          <w:sz w:val="20"/>
          <w:szCs w:val="20"/>
        </w:rPr>
        <w:t xml:space="preserve">u), który powinien być ujęty w Umowach o </w:t>
      </w:r>
      <w:r w:rsidR="006E7103" w:rsidRPr="00837E50">
        <w:rPr>
          <w:sz w:val="20"/>
          <w:szCs w:val="20"/>
        </w:rPr>
        <w:t>powierzenie</w:t>
      </w:r>
      <w:r w:rsidR="00A030FB" w:rsidRPr="00837E50">
        <w:rPr>
          <w:sz w:val="20"/>
          <w:szCs w:val="20"/>
        </w:rPr>
        <w:t xml:space="preserve"> G</w:t>
      </w:r>
      <w:r w:rsidRPr="00837E50">
        <w:rPr>
          <w:sz w:val="20"/>
          <w:szCs w:val="20"/>
        </w:rPr>
        <w:t xml:space="preserve">rantu zawieranych pomiędzy </w:t>
      </w:r>
      <w:proofErr w:type="spellStart"/>
      <w:r w:rsidRPr="00837E50">
        <w:rPr>
          <w:sz w:val="20"/>
          <w:szCs w:val="20"/>
        </w:rPr>
        <w:t>Grantoda</w:t>
      </w:r>
      <w:r w:rsidR="00A030FB" w:rsidRPr="00837E50">
        <w:rPr>
          <w:sz w:val="20"/>
          <w:szCs w:val="20"/>
        </w:rPr>
        <w:t>wcą</w:t>
      </w:r>
      <w:proofErr w:type="spellEnd"/>
      <w:r w:rsidR="00A030FB" w:rsidRPr="00837E50">
        <w:rPr>
          <w:sz w:val="20"/>
          <w:szCs w:val="20"/>
        </w:rPr>
        <w:t xml:space="preserve"> a </w:t>
      </w:r>
      <w:proofErr w:type="spellStart"/>
      <w:r w:rsidR="00A030FB" w:rsidRPr="00837E50">
        <w:rPr>
          <w:sz w:val="20"/>
          <w:szCs w:val="20"/>
        </w:rPr>
        <w:t>Grantobiorcą</w:t>
      </w:r>
      <w:proofErr w:type="spellEnd"/>
      <w:r w:rsidR="00A030FB" w:rsidRPr="00837E50">
        <w:rPr>
          <w:sz w:val="20"/>
          <w:szCs w:val="20"/>
        </w:rPr>
        <w:t>, jest koszt U</w:t>
      </w:r>
      <w:r w:rsidRPr="00837E50">
        <w:rPr>
          <w:sz w:val="20"/>
          <w:szCs w:val="20"/>
        </w:rPr>
        <w:t xml:space="preserve">sługi doradczej, świadczonej przez doradcę zewnętrznego, która nie ma charakteru ciągłego ani okresowego, nie jest też związana ze zwykłymi kosztami operacyjnymi przedsiębiorstwa, takimi jak rutynowe usługi doradztwa podatkowego, regularne usługi prawnicze lub reklama. Kwalifikowalne mogą być wydatki ponoszone przez </w:t>
      </w:r>
      <w:proofErr w:type="spellStart"/>
      <w:r w:rsidRPr="00837E50">
        <w:rPr>
          <w:sz w:val="20"/>
          <w:szCs w:val="20"/>
        </w:rPr>
        <w:t>Grantobiorców</w:t>
      </w:r>
      <w:proofErr w:type="spellEnd"/>
      <w:r w:rsidRPr="00837E50">
        <w:rPr>
          <w:sz w:val="20"/>
          <w:szCs w:val="20"/>
        </w:rPr>
        <w:t xml:space="preserve"> dopiero po wyborze projektu grantowego do dofinansowania.</w:t>
      </w:r>
    </w:p>
    <w:p w:rsidR="001B1FF4" w:rsidRPr="00837E50" w:rsidRDefault="001B1FF4" w:rsidP="00A030FB">
      <w:pPr>
        <w:jc w:val="both"/>
        <w:rPr>
          <w:sz w:val="20"/>
          <w:szCs w:val="20"/>
        </w:rPr>
      </w:pPr>
      <w:r w:rsidRPr="007A322F">
        <w:rPr>
          <w:sz w:val="20"/>
          <w:szCs w:val="20"/>
        </w:rPr>
        <w:t>W zakresie schematu 1.3.C.2 możliwe jest wsparcie działań doradczych w następujących kierunkach (z wyłączeniem doradztwa przewidzianego do wsparcia w działaniu 1.2 RPO WD „Innowacyjne przedsiębiorstwa” oraz działaniu 1.4 RPO WD „Internacjonalizacja przedsiębiorstw”):</w:t>
      </w:r>
    </w:p>
    <w:p w:rsidR="00A030FB" w:rsidRPr="00837E50" w:rsidRDefault="009273D3" w:rsidP="00A030FB">
      <w:pPr>
        <w:pStyle w:val="Akapitzlist"/>
        <w:numPr>
          <w:ilvl w:val="0"/>
          <w:numId w:val="1"/>
        </w:numPr>
        <w:jc w:val="both"/>
        <w:rPr>
          <w:sz w:val="20"/>
          <w:szCs w:val="20"/>
        </w:rPr>
      </w:pPr>
      <w:r w:rsidRPr="00837E50">
        <w:rPr>
          <w:sz w:val="20"/>
          <w:szCs w:val="20"/>
        </w:rPr>
        <w:t>usług w zakresie szeroko rozumianego wsparcia doradcz</w:t>
      </w:r>
      <w:r w:rsidR="00A030FB" w:rsidRPr="00837E50">
        <w:rPr>
          <w:sz w:val="20"/>
          <w:szCs w:val="20"/>
        </w:rPr>
        <w:t xml:space="preserve">ego, zgodnie ze zdiagnozowanymi </w:t>
      </w:r>
      <w:r w:rsidRPr="00837E50">
        <w:rPr>
          <w:sz w:val="20"/>
          <w:szCs w:val="20"/>
        </w:rPr>
        <w:t xml:space="preserve">potrzebami przedsiębiorstwa, m.in. doradztwo dotyczące: </w:t>
      </w:r>
    </w:p>
    <w:p w:rsidR="00A030FB" w:rsidRPr="00837E50" w:rsidRDefault="00A030FB" w:rsidP="00A030FB">
      <w:pPr>
        <w:pStyle w:val="Akapitzlist"/>
        <w:ind w:left="1440"/>
        <w:jc w:val="both"/>
        <w:rPr>
          <w:sz w:val="20"/>
          <w:szCs w:val="20"/>
        </w:rPr>
      </w:pPr>
    </w:p>
    <w:p w:rsidR="009273D3" w:rsidRPr="00837E50" w:rsidRDefault="009273D3" w:rsidP="00A030FB">
      <w:pPr>
        <w:pStyle w:val="Akapitzlist"/>
        <w:numPr>
          <w:ilvl w:val="0"/>
          <w:numId w:val="3"/>
        </w:numPr>
        <w:jc w:val="both"/>
        <w:rPr>
          <w:sz w:val="20"/>
          <w:szCs w:val="20"/>
        </w:rPr>
      </w:pPr>
      <w:r w:rsidRPr="00837E50">
        <w:rPr>
          <w:sz w:val="20"/>
          <w:szCs w:val="20"/>
        </w:rPr>
        <w:t>wsparcia początkowej fazy rozwoju firmy (np. opracowanie biznesplanu, strategii rozwoju przedsiębiorstwa, monitorowanie biznesu);</w:t>
      </w:r>
    </w:p>
    <w:p w:rsidR="009273D3" w:rsidRPr="00837E50" w:rsidRDefault="009273D3" w:rsidP="00A030FB">
      <w:pPr>
        <w:pStyle w:val="Akapitzlist"/>
        <w:numPr>
          <w:ilvl w:val="0"/>
          <w:numId w:val="3"/>
        </w:numPr>
        <w:jc w:val="both"/>
        <w:rPr>
          <w:sz w:val="20"/>
          <w:szCs w:val="20"/>
        </w:rPr>
      </w:pPr>
      <w:r w:rsidRPr="00837E50">
        <w:rPr>
          <w:sz w:val="20"/>
          <w:szCs w:val="20"/>
        </w:rPr>
        <w:t xml:space="preserve">uzyskiwania i odnawiania certyfikatów zgodności dla wyrobów, usług, surowców, maszyn i urządzeń, aparatury kontrolno-pomiarowej; </w:t>
      </w:r>
    </w:p>
    <w:p w:rsidR="009273D3" w:rsidRPr="00837E50" w:rsidRDefault="009273D3" w:rsidP="00A030FB">
      <w:pPr>
        <w:pStyle w:val="Akapitzlist"/>
        <w:numPr>
          <w:ilvl w:val="0"/>
          <w:numId w:val="3"/>
        </w:numPr>
        <w:jc w:val="both"/>
        <w:rPr>
          <w:sz w:val="20"/>
          <w:szCs w:val="20"/>
        </w:rPr>
      </w:pPr>
      <w:r w:rsidRPr="00837E50">
        <w:rPr>
          <w:sz w:val="20"/>
          <w:szCs w:val="20"/>
        </w:rPr>
        <w:t xml:space="preserve">projektowania, wdrażania i doskonalenia systemów zarządzana jakością i zarządzania środowiskowego; </w:t>
      </w:r>
    </w:p>
    <w:p w:rsidR="009273D3" w:rsidRPr="00837E50" w:rsidRDefault="009273D3" w:rsidP="00A030FB">
      <w:pPr>
        <w:pStyle w:val="Akapitzlist"/>
        <w:numPr>
          <w:ilvl w:val="0"/>
          <w:numId w:val="3"/>
        </w:numPr>
        <w:jc w:val="both"/>
        <w:rPr>
          <w:sz w:val="20"/>
          <w:szCs w:val="20"/>
        </w:rPr>
      </w:pPr>
      <w:r w:rsidRPr="00837E50">
        <w:rPr>
          <w:sz w:val="20"/>
          <w:szCs w:val="20"/>
        </w:rPr>
        <w:t xml:space="preserve">wykorzystywania zaawansowanych technologii informatycznych w przedsiębiorstwie; </w:t>
      </w:r>
    </w:p>
    <w:p w:rsidR="009273D3" w:rsidRPr="00837E50" w:rsidRDefault="009273D3" w:rsidP="00A030FB">
      <w:pPr>
        <w:pStyle w:val="Akapitzlist"/>
        <w:numPr>
          <w:ilvl w:val="0"/>
          <w:numId w:val="3"/>
        </w:numPr>
        <w:jc w:val="both"/>
        <w:rPr>
          <w:sz w:val="20"/>
          <w:szCs w:val="20"/>
        </w:rPr>
      </w:pPr>
      <w:r w:rsidRPr="00837E50">
        <w:rPr>
          <w:sz w:val="20"/>
          <w:szCs w:val="20"/>
        </w:rPr>
        <w:t xml:space="preserve">specjalistycznych instrumentów zarządzania i mapowania ryzyk/ryzyka w organizacji oraz tworzenia strategii zarządzania ryzykiem; </w:t>
      </w:r>
    </w:p>
    <w:p w:rsidR="00A030FB" w:rsidRPr="00837E50" w:rsidRDefault="009273D3" w:rsidP="00A030FB">
      <w:pPr>
        <w:pStyle w:val="Akapitzlist"/>
        <w:numPr>
          <w:ilvl w:val="0"/>
          <w:numId w:val="3"/>
        </w:numPr>
        <w:jc w:val="both"/>
        <w:rPr>
          <w:sz w:val="20"/>
          <w:szCs w:val="20"/>
        </w:rPr>
      </w:pPr>
      <w:r w:rsidRPr="00837E50">
        <w:rPr>
          <w:sz w:val="20"/>
          <w:szCs w:val="20"/>
        </w:rPr>
        <w:t>wdrażania systemów ukierunkowanych na aspekty środowiskowe oraz odpowiedzialność społeczną przedsiębiorstw (np. FSC/PEFC, SBP i in.)</w:t>
      </w:r>
      <w:r w:rsidR="00A030FB" w:rsidRPr="00837E50">
        <w:rPr>
          <w:sz w:val="20"/>
          <w:szCs w:val="20"/>
        </w:rPr>
        <w:t>;</w:t>
      </w:r>
    </w:p>
    <w:p w:rsidR="009273D3" w:rsidRPr="00837E50" w:rsidRDefault="009273D3" w:rsidP="00A030FB">
      <w:pPr>
        <w:pStyle w:val="Akapitzlist"/>
        <w:numPr>
          <w:ilvl w:val="0"/>
          <w:numId w:val="3"/>
        </w:numPr>
        <w:jc w:val="both"/>
        <w:rPr>
          <w:sz w:val="20"/>
          <w:szCs w:val="20"/>
        </w:rPr>
      </w:pPr>
      <w:r w:rsidRPr="00837E50">
        <w:rPr>
          <w:sz w:val="20"/>
          <w:szCs w:val="20"/>
        </w:rPr>
        <w:t xml:space="preserve"> doradztwa prawno-podatkowego i marketingowego związanego z rozwojem przedsiębiorstwa na rynku. </w:t>
      </w:r>
    </w:p>
    <w:p w:rsidR="00A030FB" w:rsidRPr="00837E50" w:rsidRDefault="00A030FB" w:rsidP="00A030FB">
      <w:pPr>
        <w:pStyle w:val="Akapitzlist"/>
        <w:ind w:left="1440"/>
        <w:jc w:val="both"/>
        <w:rPr>
          <w:sz w:val="20"/>
          <w:szCs w:val="20"/>
        </w:rPr>
      </w:pPr>
    </w:p>
    <w:p w:rsidR="00A030FB" w:rsidRPr="00837E50" w:rsidRDefault="00A030FB" w:rsidP="00A030FB">
      <w:pPr>
        <w:pStyle w:val="Akapitzlist"/>
        <w:numPr>
          <w:ilvl w:val="0"/>
          <w:numId w:val="1"/>
        </w:numPr>
        <w:jc w:val="both"/>
        <w:rPr>
          <w:sz w:val="20"/>
          <w:szCs w:val="20"/>
        </w:rPr>
      </w:pPr>
      <w:r w:rsidRPr="00837E50">
        <w:rPr>
          <w:sz w:val="20"/>
          <w:szCs w:val="20"/>
        </w:rPr>
        <w:t xml:space="preserve">usługi w zakresie pozyskiwania zewnętrznych źródeł finansowania działalności przedsiębiorstw (również w początkowej fazie rozwoju), w tym przygotowanie dokumentów i analiz niezbędnych do pozyskania zewnętrznego źródła finansowania, pomoc w pozyskaniu inwestora, analiza potrzeb i identyfikacja </w:t>
      </w:r>
      <w:r w:rsidRPr="00837E50">
        <w:rPr>
          <w:sz w:val="20"/>
          <w:szCs w:val="20"/>
        </w:rPr>
        <w:lastRenderedPageBreak/>
        <w:t>źródeł finansowania projektu – z wyłączeniem dokumentacji związanej z aplikowaniem o środki Funduszy Europejskich.</w:t>
      </w:r>
    </w:p>
    <w:p w:rsidR="009273D3" w:rsidRPr="00837E50" w:rsidRDefault="009273D3" w:rsidP="00AD28E5">
      <w:pPr>
        <w:jc w:val="both"/>
        <w:rPr>
          <w:sz w:val="20"/>
          <w:szCs w:val="20"/>
        </w:rPr>
      </w:pPr>
      <w:r w:rsidRPr="00837E50">
        <w:rPr>
          <w:sz w:val="20"/>
          <w:szCs w:val="20"/>
        </w:rPr>
        <w:t xml:space="preserve">Należy mieć na uwadze konieczność odpowiedniego udokumentowania </w:t>
      </w:r>
      <w:r w:rsidR="00AD28E5" w:rsidRPr="00837E50">
        <w:rPr>
          <w:sz w:val="20"/>
          <w:szCs w:val="20"/>
        </w:rPr>
        <w:t>poniesionych wydatków w ramach P</w:t>
      </w:r>
      <w:r w:rsidRPr="00837E50">
        <w:rPr>
          <w:sz w:val="20"/>
          <w:szCs w:val="20"/>
        </w:rPr>
        <w:t>rojektu (audytów, umów z wykonawcą, faktur, protokołu odbioru, innych dokumentów księgowych o równoważnej wartości dowodowej) w okresie kwalifikowalności z uwzględni</w:t>
      </w:r>
      <w:r w:rsidR="00AD28E5" w:rsidRPr="00837E50">
        <w:rPr>
          <w:sz w:val="20"/>
          <w:szCs w:val="20"/>
        </w:rPr>
        <w:t>eniem okresu realizacji P</w:t>
      </w:r>
      <w:r w:rsidRPr="00837E50">
        <w:rPr>
          <w:sz w:val="20"/>
          <w:szCs w:val="20"/>
        </w:rPr>
        <w:t xml:space="preserve">rojektu grantowego, poświadczającego między innymi, iż zostały one do dokonane w sposób oszczędny, tzn. niezawyżony w stosunku do średnich cen i stawek rynkowych, i spełniający wymogi uzyskiwania najlepszych efektów z danych nakładów. </w:t>
      </w:r>
    </w:p>
    <w:p w:rsidR="009273D3" w:rsidRPr="00837E50" w:rsidRDefault="006E7103" w:rsidP="00AD28E5">
      <w:pPr>
        <w:jc w:val="both"/>
        <w:rPr>
          <w:sz w:val="20"/>
          <w:szCs w:val="20"/>
        </w:rPr>
      </w:pPr>
      <w:r w:rsidRPr="00837E50">
        <w:rPr>
          <w:sz w:val="20"/>
          <w:szCs w:val="20"/>
        </w:rPr>
        <w:t>Wykonawcami U</w:t>
      </w:r>
      <w:r w:rsidR="001B1FF4">
        <w:rPr>
          <w:sz w:val="20"/>
          <w:szCs w:val="20"/>
        </w:rPr>
        <w:t>sług doradczych mog</w:t>
      </w:r>
      <w:r w:rsidR="009273D3" w:rsidRPr="00837E50">
        <w:rPr>
          <w:sz w:val="20"/>
          <w:szCs w:val="20"/>
        </w:rPr>
        <w:t>ą być wyłącznie Instytucje Otoczenia Biznesu.</w:t>
      </w:r>
    </w:p>
    <w:p w:rsidR="009273D3" w:rsidRPr="00837E50" w:rsidRDefault="009273D3" w:rsidP="009273D3">
      <w:pPr>
        <w:jc w:val="center"/>
        <w:rPr>
          <w:b/>
          <w:sz w:val="20"/>
          <w:szCs w:val="20"/>
        </w:rPr>
      </w:pPr>
      <w:r w:rsidRPr="00837E50">
        <w:rPr>
          <w:b/>
          <w:sz w:val="20"/>
          <w:szCs w:val="20"/>
        </w:rPr>
        <w:t xml:space="preserve">Wkład własny </w:t>
      </w:r>
      <w:proofErr w:type="spellStart"/>
      <w:r w:rsidRPr="00837E50">
        <w:rPr>
          <w:b/>
          <w:sz w:val="20"/>
          <w:szCs w:val="20"/>
        </w:rPr>
        <w:t>Grantobiorcy</w:t>
      </w:r>
      <w:proofErr w:type="spellEnd"/>
      <w:r w:rsidRPr="00837E50">
        <w:rPr>
          <w:b/>
          <w:sz w:val="20"/>
          <w:szCs w:val="20"/>
        </w:rPr>
        <w:t>:</w:t>
      </w:r>
    </w:p>
    <w:p w:rsidR="009273D3" w:rsidRPr="00837E50" w:rsidRDefault="009273D3" w:rsidP="00AD28E5">
      <w:pPr>
        <w:jc w:val="both"/>
        <w:rPr>
          <w:sz w:val="20"/>
          <w:szCs w:val="20"/>
        </w:rPr>
      </w:pPr>
      <w:proofErr w:type="spellStart"/>
      <w:r w:rsidRPr="00837E50">
        <w:rPr>
          <w:sz w:val="20"/>
          <w:szCs w:val="20"/>
        </w:rPr>
        <w:t>Grantobiorca</w:t>
      </w:r>
      <w:proofErr w:type="spellEnd"/>
      <w:r w:rsidRPr="00837E50">
        <w:rPr>
          <w:sz w:val="20"/>
          <w:szCs w:val="20"/>
        </w:rPr>
        <w:t xml:space="preserve"> zobowiązany jest do wniesienia wkładu włas</w:t>
      </w:r>
      <w:r w:rsidR="00AD28E5" w:rsidRPr="00837E50">
        <w:rPr>
          <w:sz w:val="20"/>
          <w:szCs w:val="20"/>
        </w:rPr>
        <w:t>nego w wysokości co najmniej 15</w:t>
      </w:r>
      <w:r w:rsidRPr="00837E50">
        <w:rPr>
          <w:sz w:val="20"/>
          <w:szCs w:val="20"/>
        </w:rPr>
        <w:t>% wydatków kwalifikowanych. Dofinansowanie jest przekazywane jako refundacja poniesionych i udokumentowanych wydatków kwalifikowanych. Poziom dofinansowani</w:t>
      </w:r>
      <w:r w:rsidR="00AD28E5" w:rsidRPr="00837E50">
        <w:rPr>
          <w:sz w:val="20"/>
          <w:szCs w:val="20"/>
        </w:rPr>
        <w:t xml:space="preserve">a wynosi do 85%, maksymalnie </w:t>
      </w:r>
      <w:r w:rsidR="00D619A7">
        <w:rPr>
          <w:sz w:val="20"/>
          <w:szCs w:val="20"/>
        </w:rPr>
        <w:t>25</w:t>
      </w:r>
      <w:r w:rsidR="00AD28E5" w:rsidRPr="00837E50">
        <w:rPr>
          <w:sz w:val="20"/>
          <w:szCs w:val="20"/>
        </w:rPr>
        <w:t xml:space="preserve">.500 </w:t>
      </w:r>
      <w:r w:rsidRPr="00837E50">
        <w:rPr>
          <w:sz w:val="20"/>
          <w:szCs w:val="20"/>
        </w:rPr>
        <w:t xml:space="preserve">zł. W </w:t>
      </w:r>
      <w:r w:rsidR="00D17297" w:rsidRPr="00837E50">
        <w:rPr>
          <w:sz w:val="20"/>
          <w:szCs w:val="20"/>
        </w:rPr>
        <w:t>przypadku</w:t>
      </w:r>
      <w:r w:rsidRPr="00837E50">
        <w:rPr>
          <w:sz w:val="20"/>
          <w:szCs w:val="20"/>
        </w:rPr>
        <w:t xml:space="preserve"> uznania przez </w:t>
      </w:r>
      <w:proofErr w:type="spellStart"/>
      <w:r w:rsidRPr="00837E50">
        <w:rPr>
          <w:sz w:val="20"/>
          <w:szCs w:val="20"/>
        </w:rPr>
        <w:t>Grantodawcę</w:t>
      </w:r>
      <w:proofErr w:type="spellEnd"/>
      <w:r w:rsidRPr="00837E50">
        <w:rPr>
          <w:sz w:val="20"/>
          <w:szCs w:val="20"/>
        </w:rPr>
        <w:t xml:space="preserve"> wydatków za niekwalifikowa</w:t>
      </w:r>
      <w:r w:rsidR="00D17297" w:rsidRPr="00837E50">
        <w:rPr>
          <w:sz w:val="20"/>
          <w:szCs w:val="20"/>
        </w:rPr>
        <w:t>l</w:t>
      </w:r>
      <w:r w:rsidRPr="00837E50">
        <w:rPr>
          <w:sz w:val="20"/>
          <w:szCs w:val="20"/>
        </w:rPr>
        <w:t xml:space="preserve">ne, </w:t>
      </w:r>
      <w:proofErr w:type="spellStart"/>
      <w:r w:rsidRPr="00837E50">
        <w:rPr>
          <w:sz w:val="20"/>
          <w:szCs w:val="20"/>
        </w:rPr>
        <w:t>Grantobiorca</w:t>
      </w:r>
      <w:proofErr w:type="spellEnd"/>
      <w:r w:rsidRPr="00837E50">
        <w:rPr>
          <w:sz w:val="20"/>
          <w:szCs w:val="20"/>
        </w:rPr>
        <w:t xml:space="preserve"> będzie musiał zapewnić środki własne na ich sfinansowanie.</w:t>
      </w:r>
    </w:p>
    <w:p w:rsidR="009273D3" w:rsidRPr="00837E50" w:rsidRDefault="009273D3" w:rsidP="009273D3">
      <w:pPr>
        <w:jc w:val="center"/>
        <w:rPr>
          <w:b/>
          <w:sz w:val="20"/>
          <w:szCs w:val="20"/>
        </w:rPr>
      </w:pPr>
      <w:r w:rsidRPr="00837E50">
        <w:rPr>
          <w:b/>
          <w:sz w:val="20"/>
          <w:szCs w:val="20"/>
        </w:rPr>
        <w:t>Informacje o pomocy publicznej:</w:t>
      </w:r>
    </w:p>
    <w:p w:rsidR="009273D3" w:rsidRPr="00837E50" w:rsidRDefault="009273D3" w:rsidP="00AD28E5">
      <w:pPr>
        <w:jc w:val="both"/>
        <w:rPr>
          <w:sz w:val="20"/>
          <w:szCs w:val="20"/>
        </w:rPr>
      </w:pPr>
      <w:r w:rsidRPr="00837E50">
        <w:rPr>
          <w:sz w:val="20"/>
          <w:szCs w:val="20"/>
        </w:rPr>
        <w:t>Wsparcie u</w:t>
      </w:r>
      <w:r w:rsidR="00AD28E5" w:rsidRPr="00837E50">
        <w:rPr>
          <w:sz w:val="20"/>
          <w:szCs w:val="20"/>
        </w:rPr>
        <w:t xml:space="preserve">dzielone </w:t>
      </w:r>
      <w:proofErr w:type="spellStart"/>
      <w:r w:rsidR="00AD28E5" w:rsidRPr="00837E50">
        <w:rPr>
          <w:sz w:val="20"/>
          <w:szCs w:val="20"/>
        </w:rPr>
        <w:t>Grantobiorcy</w:t>
      </w:r>
      <w:proofErr w:type="spellEnd"/>
      <w:r w:rsidR="00AD28E5" w:rsidRPr="00837E50">
        <w:rPr>
          <w:sz w:val="20"/>
          <w:szCs w:val="20"/>
        </w:rPr>
        <w:t xml:space="preserve"> w formie G</w:t>
      </w:r>
      <w:r w:rsidRPr="00837E50">
        <w:rPr>
          <w:sz w:val="20"/>
          <w:szCs w:val="20"/>
        </w:rPr>
        <w:t xml:space="preserve">rantu stanowi pomoc </w:t>
      </w:r>
      <w:r w:rsidRPr="00837E50">
        <w:rPr>
          <w:i/>
          <w:sz w:val="20"/>
          <w:szCs w:val="20"/>
        </w:rPr>
        <w:t xml:space="preserve">de </w:t>
      </w:r>
      <w:proofErr w:type="spellStart"/>
      <w:r w:rsidRPr="00837E50">
        <w:rPr>
          <w:i/>
          <w:sz w:val="20"/>
          <w:szCs w:val="20"/>
        </w:rPr>
        <w:t>minimis</w:t>
      </w:r>
      <w:proofErr w:type="spellEnd"/>
      <w:r w:rsidRPr="00837E50">
        <w:rPr>
          <w:sz w:val="20"/>
          <w:szCs w:val="20"/>
        </w:rPr>
        <w:t>, udzielaną na podstawie rozporządzenia Ministra Infrastruktury i R</w:t>
      </w:r>
      <w:r w:rsidR="00AD28E5" w:rsidRPr="00837E50">
        <w:rPr>
          <w:sz w:val="20"/>
          <w:szCs w:val="20"/>
        </w:rPr>
        <w:t>ozwoju z dnia 19 marca 2015 r.</w:t>
      </w:r>
      <w:r w:rsidRPr="00837E50">
        <w:rPr>
          <w:sz w:val="20"/>
          <w:szCs w:val="20"/>
        </w:rPr>
        <w:t xml:space="preserve"> w sprawie udzielania pomocy </w:t>
      </w:r>
      <w:r w:rsidRPr="00837E50">
        <w:rPr>
          <w:i/>
          <w:sz w:val="20"/>
          <w:szCs w:val="20"/>
        </w:rPr>
        <w:t xml:space="preserve">de </w:t>
      </w:r>
      <w:proofErr w:type="spellStart"/>
      <w:r w:rsidRPr="00837E50">
        <w:rPr>
          <w:i/>
          <w:sz w:val="20"/>
          <w:szCs w:val="20"/>
        </w:rPr>
        <w:t>minimis</w:t>
      </w:r>
      <w:proofErr w:type="spellEnd"/>
      <w:r w:rsidRPr="00837E50">
        <w:rPr>
          <w:sz w:val="20"/>
          <w:szCs w:val="20"/>
        </w:rPr>
        <w:t xml:space="preserve"> w ramach regionalnych prog</w:t>
      </w:r>
      <w:r w:rsidR="00AD28E5" w:rsidRPr="00837E50">
        <w:rPr>
          <w:sz w:val="20"/>
          <w:szCs w:val="20"/>
        </w:rPr>
        <w:t>ramów operacyjnych na lata 2014-</w:t>
      </w:r>
      <w:r w:rsidRPr="00837E50">
        <w:rPr>
          <w:sz w:val="20"/>
          <w:szCs w:val="20"/>
        </w:rPr>
        <w:t>2020.</w:t>
      </w:r>
    </w:p>
    <w:p w:rsidR="009273D3" w:rsidRPr="00837E50" w:rsidRDefault="009273D3" w:rsidP="00AD28E5">
      <w:pPr>
        <w:jc w:val="center"/>
        <w:rPr>
          <w:b/>
          <w:sz w:val="20"/>
          <w:szCs w:val="20"/>
        </w:rPr>
      </w:pPr>
      <w:r w:rsidRPr="00837E50">
        <w:rPr>
          <w:b/>
          <w:sz w:val="20"/>
          <w:szCs w:val="20"/>
        </w:rPr>
        <w:t>Info</w:t>
      </w:r>
      <w:r w:rsidR="00AD28E5" w:rsidRPr="00837E50">
        <w:rPr>
          <w:b/>
          <w:sz w:val="20"/>
          <w:szCs w:val="20"/>
        </w:rPr>
        <w:t>rmacje o źródłach finansowania G</w:t>
      </w:r>
      <w:r w:rsidRPr="00837E50">
        <w:rPr>
          <w:b/>
          <w:sz w:val="20"/>
          <w:szCs w:val="20"/>
        </w:rPr>
        <w:t>rantów (w tym RPO WD 2014-20</w:t>
      </w:r>
      <w:r w:rsidR="00AD28E5" w:rsidRPr="00837E50">
        <w:rPr>
          <w:b/>
          <w:sz w:val="20"/>
          <w:szCs w:val="20"/>
        </w:rPr>
        <w:t xml:space="preserve">20) </w:t>
      </w:r>
      <w:r w:rsidR="00394887" w:rsidRPr="00837E50">
        <w:rPr>
          <w:b/>
          <w:sz w:val="20"/>
          <w:szCs w:val="20"/>
        </w:rPr>
        <w:br/>
      </w:r>
      <w:r w:rsidR="00AD28E5" w:rsidRPr="00837E50">
        <w:rPr>
          <w:b/>
          <w:sz w:val="20"/>
          <w:szCs w:val="20"/>
        </w:rPr>
        <w:t>oraz poziom dofinansowania G</w:t>
      </w:r>
      <w:r w:rsidRPr="00837E50">
        <w:rPr>
          <w:b/>
          <w:sz w:val="20"/>
          <w:szCs w:val="20"/>
        </w:rPr>
        <w:t>rantów:</w:t>
      </w:r>
    </w:p>
    <w:p w:rsidR="009273D3" w:rsidRPr="00837E50" w:rsidRDefault="009273D3" w:rsidP="00D17297">
      <w:pPr>
        <w:jc w:val="both"/>
        <w:rPr>
          <w:sz w:val="20"/>
          <w:szCs w:val="20"/>
        </w:rPr>
      </w:pPr>
      <w:r w:rsidRPr="00837E50">
        <w:rPr>
          <w:sz w:val="20"/>
          <w:szCs w:val="20"/>
        </w:rPr>
        <w:t>Projekt jest dofinansowany z EFRR w ramach Działania 1.3 Regionalnego Programu Operacyjnego Województwa Dolnośląskiego 2014-2020. Poz</w:t>
      </w:r>
      <w:r w:rsidR="00D17297" w:rsidRPr="00837E50">
        <w:rPr>
          <w:sz w:val="20"/>
          <w:szCs w:val="20"/>
        </w:rPr>
        <w:t>iom dofinansowania wynosi do 85</w:t>
      </w:r>
      <w:r w:rsidRPr="00837E50">
        <w:rPr>
          <w:sz w:val="20"/>
          <w:szCs w:val="20"/>
        </w:rPr>
        <w:t>% kosztów</w:t>
      </w:r>
      <w:r w:rsidR="00D17297" w:rsidRPr="00837E50">
        <w:rPr>
          <w:sz w:val="20"/>
          <w:szCs w:val="20"/>
        </w:rPr>
        <w:t xml:space="preserve"> kwalifikowanych, maksymalnie </w:t>
      </w:r>
      <w:r w:rsidR="006813E9">
        <w:rPr>
          <w:sz w:val="20"/>
          <w:szCs w:val="20"/>
        </w:rPr>
        <w:t>42</w:t>
      </w:r>
      <w:bookmarkStart w:id="0" w:name="_GoBack"/>
      <w:bookmarkEnd w:id="0"/>
      <w:r w:rsidR="00D17297" w:rsidRPr="00837E50">
        <w:rPr>
          <w:sz w:val="20"/>
          <w:szCs w:val="20"/>
        </w:rPr>
        <w:t>.</w:t>
      </w:r>
      <w:r w:rsidR="006813E9">
        <w:rPr>
          <w:sz w:val="20"/>
          <w:szCs w:val="20"/>
        </w:rPr>
        <w:t>5</w:t>
      </w:r>
      <w:r w:rsidRPr="00837E50">
        <w:rPr>
          <w:sz w:val="20"/>
          <w:szCs w:val="20"/>
        </w:rPr>
        <w:t xml:space="preserve">00 zł. </w:t>
      </w:r>
    </w:p>
    <w:p w:rsidR="00D17297" w:rsidRPr="00837E50" w:rsidRDefault="00D17297" w:rsidP="00D17297">
      <w:pPr>
        <w:jc w:val="both"/>
        <w:rPr>
          <w:sz w:val="20"/>
          <w:szCs w:val="20"/>
        </w:rPr>
      </w:pPr>
      <w:r w:rsidRPr="00837E50">
        <w:rPr>
          <w:sz w:val="20"/>
          <w:szCs w:val="20"/>
        </w:rPr>
        <w:t xml:space="preserve">W przypadku pomocy </w:t>
      </w:r>
      <w:r w:rsidRPr="00837E50">
        <w:rPr>
          <w:i/>
          <w:sz w:val="20"/>
          <w:szCs w:val="20"/>
        </w:rPr>
        <w:t xml:space="preserve">de </w:t>
      </w:r>
      <w:proofErr w:type="spellStart"/>
      <w:r w:rsidRPr="00837E50">
        <w:rPr>
          <w:i/>
          <w:sz w:val="20"/>
          <w:szCs w:val="20"/>
        </w:rPr>
        <w:t>minimis</w:t>
      </w:r>
      <w:proofErr w:type="spellEnd"/>
      <w:r w:rsidRPr="00837E50">
        <w:rPr>
          <w:sz w:val="20"/>
          <w:szCs w:val="20"/>
        </w:rPr>
        <w:t xml:space="preserve"> obowiązuje ponadto limit równowartości 200 tys. euro pomocy </w:t>
      </w:r>
      <w:r w:rsidRPr="00837E50">
        <w:rPr>
          <w:i/>
          <w:sz w:val="20"/>
          <w:szCs w:val="20"/>
        </w:rPr>
        <w:t>de</w:t>
      </w:r>
      <w:r w:rsidRPr="00837E50">
        <w:rPr>
          <w:sz w:val="20"/>
          <w:szCs w:val="20"/>
        </w:rPr>
        <w:t xml:space="preserve"> </w:t>
      </w:r>
      <w:proofErr w:type="spellStart"/>
      <w:r w:rsidRPr="00837E50">
        <w:rPr>
          <w:i/>
          <w:sz w:val="20"/>
          <w:szCs w:val="20"/>
        </w:rPr>
        <w:t>minimis</w:t>
      </w:r>
      <w:proofErr w:type="spellEnd"/>
      <w:r w:rsidRPr="00837E50">
        <w:rPr>
          <w:sz w:val="20"/>
          <w:szCs w:val="20"/>
        </w:rPr>
        <w:t>, którą dany podmiot (</w:t>
      </w:r>
      <w:proofErr w:type="spellStart"/>
      <w:r w:rsidRPr="00837E50">
        <w:rPr>
          <w:sz w:val="20"/>
          <w:szCs w:val="20"/>
        </w:rPr>
        <w:t>Grantobiorca</w:t>
      </w:r>
      <w:proofErr w:type="spellEnd"/>
      <w:r w:rsidRPr="00837E50">
        <w:rPr>
          <w:sz w:val="20"/>
          <w:szCs w:val="20"/>
        </w:rPr>
        <w:t>) może otrzymać w okresie 3 lat (liczonych jako rok, w którym ubiega się o wsparcie oraz 2 poprzednie lata podatkowe).</w:t>
      </w:r>
    </w:p>
    <w:p w:rsidR="009273D3" w:rsidRPr="00837E50" w:rsidRDefault="00EF5BCC" w:rsidP="00EF5BCC">
      <w:pPr>
        <w:jc w:val="center"/>
        <w:rPr>
          <w:b/>
          <w:sz w:val="20"/>
          <w:szCs w:val="20"/>
        </w:rPr>
      </w:pPr>
      <w:r w:rsidRPr="00837E50">
        <w:rPr>
          <w:b/>
          <w:sz w:val="20"/>
          <w:szCs w:val="20"/>
        </w:rPr>
        <w:t>Okres realizacji G</w:t>
      </w:r>
      <w:r w:rsidR="009273D3" w:rsidRPr="00837E50">
        <w:rPr>
          <w:b/>
          <w:sz w:val="20"/>
          <w:szCs w:val="20"/>
        </w:rPr>
        <w:t xml:space="preserve">rantu przez </w:t>
      </w:r>
      <w:proofErr w:type="spellStart"/>
      <w:r w:rsidR="009273D3" w:rsidRPr="00837E50">
        <w:rPr>
          <w:b/>
          <w:sz w:val="20"/>
          <w:szCs w:val="20"/>
        </w:rPr>
        <w:t>Grantobiorcę</w:t>
      </w:r>
      <w:proofErr w:type="spellEnd"/>
      <w:r w:rsidR="009273D3" w:rsidRPr="00837E50">
        <w:rPr>
          <w:b/>
          <w:sz w:val="20"/>
          <w:szCs w:val="20"/>
        </w:rPr>
        <w:t>:</w:t>
      </w:r>
    </w:p>
    <w:p w:rsidR="009273D3" w:rsidRPr="00837E50" w:rsidRDefault="00EF5BCC" w:rsidP="00394887">
      <w:pPr>
        <w:jc w:val="both"/>
        <w:rPr>
          <w:sz w:val="20"/>
          <w:szCs w:val="20"/>
        </w:rPr>
      </w:pPr>
      <w:r w:rsidRPr="00837E50">
        <w:rPr>
          <w:sz w:val="20"/>
          <w:szCs w:val="20"/>
        </w:rPr>
        <w:t xml:space="preserve">Okres realizacji Grantu przez </w:t>
      </w:r>
      <w:proofErr w:type="spellStart"/>
      <w:r w:rsidRPr="00837E50">
        <w:rPr>
          <w:sz w:val="20"/>
          <w:szCs w:val="20"/>
        </w:rPr>
        <w:t>Grantobiorcę</w:t>
      </w:r>
      <w:proofErr w:type="spellEnd"/>
      <w:r w:rsidRPr="00837E50">
        <w:rPr>
          <w:sz w:val="20"/>
          <w:szCs w:val="20"/>
        </w:rPr>
        <w:t xml:space="preserve"> </w:t>
      </w:r>
      <w:r w:rsidR="00394887" w:rsidRPr="00837E50">
        <w:rPr>
          <w:sz w:val="20"/>
          <w:szCs w:val="20"/>
        </w:rPr>
        <w:t xml:space="preserve">może trwać maksymalnie 6 miesięcy. Na ostateczną datę zamknięcia Usługi i złożenia przez </w:t>
      </w:r>
      <w:proofErr w:type="spellStart"/>
      <w:r w:rsidR="00394887" w:rsidRPr="00837E50">
        <w:rPr>
          <w:sz w:val="20"/>
          <w:szCs w:val="20"/>
        </w:rPr>
        <w:t>Grantobiorcę</w:t>
      </w:r>
      <w:proofErr w:type="spellEnd"/>
      <w:r w:rsidR="00394887" w:rsidRPr="00837E50">
        <w:rPr>
          <w:sz w:val="20"/>
          <w:szCs w:val="20"/>
        </w:rPr>
        <w:t xml:space="preserve"> do </w:t>
      </w:r>
      <w:proofErr w:type="spellStart"/>
      <w:r w:rsidR="00394887" w:rsidRPr="00837E50">
        <w:rPr>
          <w:sz w:val="20"/>
          <w:szCs w:val="20"/>
        </w:rPr>
        <w:t>Grantodawcy</w:t>
      </w:r>
      <w:proofErr w:type="spellEnd"/>
      <w:r w:rsidR="00394887" w:rsidRPr="00837E50">
        <w:rPr>
          <w:sz w:val="20"/>
          <w:szCs w:val="20"/>
        </w:rPr>
        <w:t xml:space="preserve"> kompletnego Wniosku o wypłatę Grantu wraz z załącznikami wyznacza się dzień 31 lipca 2019 r.</w:t>
      </w:r>
    </w:p>
    <w:p w:rsidR="00394887" w:rsidRPr="00837E50" w:rsidRDefault="00D7658E">
      <w:pPr>
        <w:rPr>
          <w:sz w:val="20"/>
          <w:szCs w:val="20"/>
        </w:rPr>
      </w:pPr>
      <w:r>
        <w:rPr>
          <w:sz w:val="20"/>
          <w:szCs w:val="20"/>
        </w:rPr>
        <w:t>Regulamin udzielania Grantów oraz wzór Wniosku wraz załącznikami dostępne są na</w:t>
      </w:r>
      <w:r w:rsidR="00031D01" w:rsidRPr="00837E50">
        <w:rPr>
          <w:sz w:val="20"/>
          <w:szCs w:val="20"/>
        </w:rPr>
        <w:t xml:space="preserve">: </w:t>
      </w:r>
      <w:hyperlink r:id="rId12" w:history="1">
        <w:r w:rsidR="00643BFC" w:rsidRPr="007B31DE">
          <w:rPr>
            <w:rStyle w:val="Hipercze"/>
            <w:sz w:val="20"/>
            <w:szCs w:val="20"/>
          </w:rPr>
          <w:t>www.siph.pl</w:t>
        </w:r>
      </w:hyperlink>
    </w:p>
    <w:sectPr w:rsidR="00394887" w:rsidRPr="00837E50" w:rsidSect="00F177A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6B3" w:rsidRDefault="003906B3" w:rsidP="009273D3">
      <w:pPr>
        <w:spacing w:after="0" w:line="240" w:lineRule="auto"/>
      </w:pPr>
      <w:r>
        <w:separator/>
      </w:r>
    </w:p>
  </w:endnote>
  <w:endnote w:type="continuationSeparator" w:id="0">
    <w:p w:rsidR="003906B3" w:rsidRDefault="003906B3" w:rsidP="0092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D01" w:rsidRDefault="00031D01">
    <w:pPr>
      <w:pStyle w:val="Stopka"/>
    </w:pPr>
  </w:p>
  <w:p w:rsidR="00031D01" w:rsidRDefault="00031D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6B3" w:rsidRDefault="003906B3" w:rsidP="009273D3">
      <w:pPr>
        <w:spacing w:after="0" w:line="240" w:lineRule="auto"/>
      </w:pPr>
      <w:r>
        <w:separator/>
      </w:r>
    </w:p>
  </w:footnote>
  <w:footnote w:type="continuationSeparator" w:id="0">
    <w:p w:rsidR="003906B3" w:rsidRDefault="003906B3" w:rsidP="00927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D3" w:rsidRDefault="00643BFC">
    <w:pPr>
      <w:pStyle w:val="Nagwek"/>
    </w:pPr>
    <w:r w:rsidRPr="00643BFC">
      <w:rPr>
        <w:noProof/>
        <w:lang w:eastAsia="pl-PL"/>
      </w:rPr>
      <w:drawing>
        <wp:anchor distT="0" distB="0" distL="0" distR="0" simplePos="0" relativeHeight="251659264" behindDoc="1" locked="0" layoutInCell="1" allowOverlap="1">
          <wp:simplePos x="0" y="0"/>
          <wp:positionH relativeFrom="page">
            <wp:posOffset>869384</wp:posOffset>
          </wp:positionH>
          <wp:positionV relativeFrom="page">
            <wp:posOffset>110660</wp:posOffset>
          </wp:positionV>
          <wp:extent cx="5419595" cy="675608"/>
          <wp:effectExtent l="19050" t="0" r="6985"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srcRect/>
                  <a:stretch>
                    <a:fillRect/>
                  </a:stretch>
                </pic:blipFill>
                <pic:spPr bwMode="auto">
                  <a:xfrm>
                    <a:off x="0" y="0"/>
                    <a:ext cx="5422265" cy="675640"/>
                  </a:xfrm>
                  <a:prstGeom prst="rect">
                    <a:avLst/>
                  </a:prstGeom>
                  <a:noFill/>
                  <a:ln w="9525">
                    <a:noFill/>
                    <a:miter lim="800000"/>
                    <a:headEnd/>
                    <a:tailEnd/>
                  </a:ln>
                </pic:spPr>
              </pic:pic>
            </a:graphicData>
          </a:graphic>
        </wp:anchor>
      </w:drawing>
    </w:r>
  </w:p>
  <w:p w:rsidR="009273D3" w:rsidRDefault="009273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2F16"/>
    <w:multiLevelType w:val="hybridMultilevel"/>
    <w:tmpl w:val="2FF40B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A7943F5"/>
    <w:multiLevelType w:val="multilevel"/>
    <w:tmpl w:val="6AB8774E"/>
    <w:lvl w:ilvl="0">
      <w:start w:val="58"/>
      <w:numFmt w:val="decimal"/>
      <w:lvlText w:val="%1"/>
      <w:lvlJc w:val="left"/>
      <w:pPr>
        <w:ind w:left="727" w:hanging="612"/>
      </w:pPr>
      <w:rPr>
        <w:rFonts w:hint="default"/>
        <w:lang w:val="pl-PL" w:eastAsia="pl-PL" w:bidi="pl-PL"/>
      </w:rPr>
    </w:lvl>
    <w:lvl w:ilvl="1">
      <w:start w:val="100"/>
      <w:numFmt w:val="decimal"/>
      <w:lvlText w:val="%1-%2"/>
      <w:lvlJc w:val="left"/>
      <w:pPr>
        <w:ind w:left="727" w:hanging="612"/>
      </w:pPr>
      <w:rPr>
        <w:rFonts w:ascii="Arial" w:eastAsia="Arial" w:hAnsi="Arial" w:cs="Arial" w:hint="default"/>
        <w:spacing w:val="-1"/>
        <w:w w:val="90"/>
        <w:sz w:val="20"/>
        <w:szCs w:val="20"/>
        <w:lang w:val="pl-PL" w:eastAsia="pl-PL" w:bidi="pl-PL"/>
      </w:rPr>
    </w:lvl>
    <w:lvl w:ilvl="2">
      <w:start w:val="1"/>
      <w:numFmt w:val="lowerLetter"/>
      <w:lvlText w:val="%3)"/>
      <w:lvlJc w:val="left"/>
      <w:pPr>
        <w:ind w:left="836" w:hanging="360"/>
      </w:pPr>
      <w:rPr>
        <w:rFonts w:ascii="Arial" w:eastAsia="Arial" w:hAnsi="Arial" w:cs="Arial" w:hint="default"/>
        <w:w w:val="87"/>
        <w:sz w:val="20"/>
        <w:szCs w:val="20"/>
        <w:lang w:val="pl-PL" w:eastAsia="pl-PL" w:bidi="pl-PL"/>
      </w:rPr>
    </w:lvl>
    <w:lvl w:ilvl="3">
      <w:numFmt w:val="bullet"/>
      <w:lvlText w:val=""/>
      <w:lvlJc w:val="left"/>
      <w:pPr>
        <w:ind w:left="1556" w:hanging="360"/>
      </w:pPr>
      <w:rPr>
        <w:rFonts w:ascii="Symbol" w:eastAsia="Symbol" w:hAnsi="Symbol" w:cs="Symbol" w:hint="default"/>
        <w:w w:val="99"/>
        <w:sz w:val="20"/>
        <w:szCs w:val="20"/>
        <w:lang w:val="pl-PL" w:eastAsia="pl-PL" w:bidi="pl-PL"/>
      </w:rPr>
    </w:lvl>
    <w:lvl w:ilvl="4">
      <w:numFmt w:val="bullet"/>
      <w:lvlText w:val="•"/>
      <w:lvlJc w:val="left"/>
      <w:pPr>
        <w:ind w:left="3496" w:hanging="360"/>
      </w:pPr>
      <w:rPr>
        <w:rFonts w:hint="default"/>
        <w:lang w:val="pl-PL" w:eastAsia="pl-PL" w:bidi="pl-PL"/>
      </w:rPr>
    </w:lvl>
    <w:lvl w:ilvl="5">
      <w:numFmt w:val="bullet"/>
      <w:lvlText w:val="•"/>
      <w:lvlJc w:val="left"/>
      <w:pPr>
        <w:ind w:left="4464" w:hanging="360"/>
      </w:pPr>
      <w:rPr>
        <w:rFonts w:hint="default"/>
        <w:lang w:val="pl-PL" w:eastAsia="pl-PL" w:bidi="pl-PL"/>
      </w:rPr>
    </w:lvl>
    <w:lvl w:ilvl="6">
      <w:numFmt w:val="bullet"/>
      <w:lvlText w:val="•"/>
      <w:lvlJc w:val="left"/>
      <w:pPr>
        <w:ind w:left="5433" w:hanging="360"/>
      </w:pPr>
      <w:rPr>
        <w:rFonts w:hint="default"/>
        <w:lang w:val="pl-PL" w:eastAsia="pl-PL" w:bidi="pl-PL"/>
      </w:rPr>
    </w:lvl>
    <w:lvl w:ilvl="7">
      <w:numFmt w:val="bullet"/>
      <w:lvlText w:val="•"/>
      <w:lvlJc w:val="left"/>
      <w:pPr>
        <w:ind w:left="6401" w:hanging="360"/>
      </w:pPr>
      <w:rPr>
        <w:rFonts w:hint="default"/>
        <w:lang w:val="pl-PL" w:eastAsia="pl-PL" w:bidi="pl-PL"/>
      </w:rPr>
    </w:lvl>
    <w:lvl w:ilvl="8">
      <w:numFmt w:val="bullet"/>
      <w:lvlText w:val="•"/>
      <w:lvlJc w:val="left"/>
      <w:pPr>
        <w:ind w:left="7369" w:hanging="360"/>
      </w:pPr>
      <w:rPr>
        <w:rFonts w:hint="default"/>
        <w:lang w:val="pl-PL" w:eastAsia="pl-PL" w:bidi="pl-PL"/>
      </w:rPr>
    </w:lvl>
  </w:abstractNum>
  <w:abstractNum w:abstractNumId="2" w15:restartNumberingAfterBreak="0">
    <w:nsid w:val="1B3F0515"/>
    <w:multiLevelType w:val="hybridMultilevel"/>
    <w:tmpl w:val="90F6A1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781DC9"/>
    <w:multiLevelType w:val="hybridMultilevel"/>
    <w:tmpl w:val="1A42C1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F4859D2"/>
    <w:multiLevelType w:val="hybridMultilevel"/>
    <w:tmpl w:val="D1CE6142"/>
    <w:lvl w:ilvl="0" w:tplc="B55AAAA8">
      <w:start w:val="1"/>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30"/>
    <w:rsid w:val="00005198"/>
    <w:rsid w:val="00011BA6"/>
    <w:rsid w:val="00013F48"/>
    <w:rsid w:val="00030B6E"/>
    <w:rsid w:val="00031D01"/>
    <w:rsid w:val="00041644"/>
    <w:rsid w:val="000500E1"/>
    <w:rsid w:val="00077B27"/>
    <w:rsid w:val="00140044"/>
    <w:rsid w:val="001805F7"/>
    <w:rsid w:val="001B1FF4"/>
    <w:rsid w:val="001B67B1"/>
    <w:rsid w:val="001C5759"/>
    <w:rsid w:val="001D24F8"/>
    <w:rsid w:val="001E50E9"/>
    <w:rsid w:val="0023500F"/>
    <w:rsid w:val="002416A6"/>
    <w:rsid w:val="00251DF5"/>
    <w:rsid w:val="00264ED1"/>
    <w:rsid w:val="00270D76"/>
    <w:rsid w:val="00287563"/>
    <w:rsid w:val="00334A42"/>
    <w:rsid w:val="00374EE7"/>
    <w:rsid w:val="0037751C"/>
    <w:rsid w:val="003906B3"/>
    <w:rsid w:val="00394887"/>
    <w:rsid w:val="004B35DD"/>
    <w:rsid w:val="005369ED"/>
    <w:rsid w:val="005479BD"/>
    <w:rsid w:val="00575697"/>
    <w:rsid w:val="005A18F0"/>
    <w:rsid w:val="005D306E"/>
    <w:rsid w:val="005E04DB"/>
    <w:rsid w:val="005E685C"/>
    <w:rsid w:val="0060765D"/>
    <w:rsid w:val="00617352"/>
    <w:rsid w:val="00630328"/>
    <w:rsid w:val="00643BFC"/>
    <w:rsid w:val="00670346"/>
    <w:rsid w:val="006813E9"/>
    <w:rsid w:val="006902D1"/>
    <w:rsid w:val="006A3371"/>
    <w:rsid w:val="006E7103"/>
    <w:rsid w:val="006F0921"/>
    <w:rsid w:val="00740D09"/>
    <w:rsid w:val="00754FA9"/>
    <w:rsid w:val="00785C86"/>
    <w:rsid w:val="007A322F"/>
    <w:rsid w:val="007D1E2D"/>
    <w:rsid w:val="007F344F"/>
    <w:rsid w:val="00837E50"/>
    <w:rsid w:val="00842A0D"/>
    <w:rsid w:val="00854113"/>
    <w:rsid w:val="008639E6"/>
    <w:rsid w:val="00880542"/>
    <w:rsid w:val="008C39F7"/>
    <w:rsid w:val="008F5509"/>
    <w:rsid w:val="00900BDC"/>
    <w:rsid w:val="009058D9"/>
    <w:rsid w:val="00906ED2"/>
    <w:rsid w:val="00923130"/>
    <w:rsid w:val="009273D3"/>
    <w:rsid w:val="00933411"/>
    <w:rsid w:val="00955713"/>
    <w:rsid w:val="00955FC2"/>
    <w:rsid w:val="0098617E"/>
    <w:rsid w:val="0098627D"/>
    <w:rsid w:val="00995F7F"/>
    <w:rsid w:val="009C698A"/>
    <w:rsid w:val="009E42D9"/>
    <w:rsid w:val="00A030FB"/>
    <w:rsid w:val="00A45498"/>
    <w:rsid w:val="00A47627"/>
    <w:rsid w:val="00A51843"/>
    <w:rsid w:val="00AA5156"/>
    <w:rsid w:val="00AD28E5"/>
    <w:rsid w:val="00B00634"/>
    <w:rsid w:val="00B32A83"/>
    <w:rsid w:val="00B52EDA"/>
    <w:rsid w:val="00B750EC"/>
    <w:rsid w:val="00C412B8"/>
    <w:rsid w:val="00C54166"/>
    <w:rsid w:val="00C67342"/>
    <w:rsid w:val="00C67E18"/>
    <w:rsid w:val="00C82B0E"/>
    <w:rsid w:val="00C90FC4"/>
    <w:rsid w:val="00CF4CF0"/>
    <w:rsid w:val="00D17297"/>
    <w:rsid w:val="00D23EE3"/>
    <w:rsid w:val="00D44DBF"/>
    <w:rsid w:val="00D61029"/>
    <w:rsid w:val="00D619A7"/>
    <w:rsid w:val="00D7658E"/>
    <w:rsid w:val="00DE2896"/>
    <w:rsid w:val="00E40029"/>
    <w:rsid w:val="00E56886"/>
    <w:rsid w:val="00E74841"/>
    <w:rsid w:val="00E94244"/>
    <w:rsid w:val="00EB480A"/>
    <w:rsid w:val="00ED3385"/>
    <w:rsid w:val="00EE262E"/>
    <w:rsid w:val="00EF5BCC"/>
    <w:rsid w:val="00EF7926"/>
    <w:rsid w:val="00F05584"/>
    <w:rsid w:val="00F177AC"/>
    <w:rsid w:val="00F40765"/>
    <w:rsid w:val="00F42DC3"/>
    <w:rsid w:val="00F8719D"/>
    <w:rsid w:val="00F910CE"/>
    <w:rsid w:val="00F94E07"/>
    <w:rsid w:val="00FA277D"/>
    <w:rsid w:val="00FB2A86"/>
    <w:rsid w:val="00FE7266"/>
    <w:rsid w:val="00FF4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7EC7"/>
  <w15:docId w15:val="{1D1482B7-1C65-47AE-B61C-A38E86F1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177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3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3D3"/>
  </w:style>
  <w:style w:type="paragraph" w:styleId="Stopka">
    <w:name w:val="footer"/>
    <w:basedOn w:val="Normalny"/>
    <w:link w:val="StopkaZnak"/>
    <w:uiPriority w:val="99"/>
    <w:unhideWhenUsed/>
    <w:rsid w:val="009273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3D3"/>
  </w:style>
  <w:style w:type="character" w:styleId="Pogrubienie">
    <w:name w:val="Strong"/>
    <w:basedOn w:val="Domylnaczcionkaakapitu"/>
    <w:uiPriority w:val="22"/>
    <w:qFormat/>
    <w:rsid w:val="00C82B0E"/>
    <w:rPr>
      <w:b/>
      <w:bCs/>
    </w:rPr>
  </w:style>
  <w:style w:type="paragraph" w:styleId="NormalnyWeb">
    <w:name w:val="Normal (Web)"/>
    <w:basedOn w:val="Normalny"/>
    <w:uiPriority w:val="99"/>
    <w:semiHidden/>
    <w:unhideWhenUsed/>
    <w:rsid w:val="000051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05198"/>
    <w:rPr>
      <w:color w:val="0000FF"/>
      <w:u w:val="single"/>
    </w:rPr>
  </w:style>
  <w:style w:type="paragraph" w:styleId="Akapitzlist">
    <w:name w:val="List Paragraph"/>
    <w:basedOn w:val="Normalny"/>
    <w:uiPriority w:val="1"/>
    <w:qFormat/>
    <w:rsid w:val="00A030FB"/>
    <w:pPr>
      <w:ind w:left="720"/>
      <w:contextualSpacing/>
    </w:pPr>
  </w:style>
  <w:style w:type="paragraph" w:styleId="Tekstdymka">
    <w:name w:val="Balloon Text"/>
    <w:basedOn w:val="Normalny"/>
    <w:link w:val="TekstdymkaZnak"/>
    <w:uiPriority w:val="99"/>
    <w:semiHidden/>
    <w:unhideWhenUsed/>
    <w:rsid w:val="00D44D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4DBF"/>
    <w:rPr>
      <w:rFonts w:ascii="Segoe UI" w:hAnsi="Segoe UI" w:cs="Segoe UI"/>
      <w:sz w:val="18"/>
      <w:szCs w:val="18"/>
    </w:rPr>
  </w:style>
  <w:style w:type="paragraph" w:styleId="Tekstpodstawowy">
    <w:name w:val="Body Text"/>
    <w:basedOn w:val="Normalny"/>
    <w:link w:val="TekstpodstawowyZnak"/>
    <w:uiPriority w:val="1"/>
    <w:qFormat/>
    <w:rsid w:val="00643BFC"/>
    <w:pPr>
      <w:widowControl w:val="0"/>
      <w:autoSpaceDE w:val="0"/>
      <w:autoSpaceDN w:val="0"/>
      <w:spacing w:after="0" w:line="240" w:lineRule="auto"/>
    </w:pPr>
    <w:rPr>
      <w:rFonts w:ascii="Arial" w:eastAsia="Arial" w:hAnsi="Arial" w:cs="Arial"/>
      <w:sz w:val="20"/>
      <w:szCs w:val="20"/>
      <w:lang w:eastAsia="pl-PL" w:bidi="pl-PL"/>
    </w:rPr>
  </w:style>
  <w:style w:type="character" w:customStyle="1" w:styleId="TekstpodstawowyZnak">
    <w:name w:val="Tekst podstawowy Znak"/>
    <w:basedOn w:val="Domylnaczcionkaakapitu"/>
    <w:link w:val="Tekstpodstawowy"/>
    <w:uiPriority w:val="1"/>
    <w:rsid w:val="00643BFC"/>
    <w:rPr>
      <w:rFonts w:ascii="Arial" w:eastAsia="Arial" w:hAnsi="Arial" w:cs="Arial"/>
      <w:sz w:val="20"/>
      <w:szCs w:val="20"/>
      <w:lang w:eastAsia="pl-PL" w:bidi="pl-PL"/>
    </w:rPr>
  </w:style>
  <w:style w:type="paragraph" w:customStyle="1" w:styleId="Nagwek11">
    <w:name w:val="Nagłówek 11"/>
    <w:basedOn w:val="Normalny"/>
    <w:uiPriority w:val="1"/>
    <w:qFormat/>
    <w:rsid w:val="00643BFC"/>
    <w:pPr>
      <w:widowControl w:val="0"/>
      <w:autoSpaceDE w:val="0"/>
      <w:autoSpaceDN w:val="0"/>
      <w:spacing w:after="0" w:line="240" w:lineRule="auto"/>
      <w:ind w:left="390"/>
      <w:jc w:val="center"/>
      <w:outlineLvl w:val="1"/>
    </w:pPr>
    <w:rPr>
      <w:rFonts w:ascii="Arial" w:eastAsia="Arial" w:hAnsi="Arial" w:cs="Arial"/>
      <w:b/>
      <w:bCs/>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96225">
      <w:bodyDiv w:val="1"/>
      <w:marLeft w:val="0"/>
      <w:marRight w:val="0"/>
      <w:marTop w:val="0"/>
      <w:marBottom w:val="0"/>
      <w:divBdr>
        <w:top w:val="none" w:sz="0" w:space="0" w:color="auto"/>
        <w:left w:val="none" w:sz="0" w:space="0" w:color="auto"/>
        <w:bottom w:val="none" w:sz="0" w:space="0" w:color="auto"/>
        <w:right w:val="none" w:sz="0" w:space="0" w:color="auto"/>
      </w:divBdr>
    </w:div>
    <w:div w:id="1522084467">
      <w:bodyDiv w:val="1"/>
      <w:marLeft w:val="0"/>
      <w:marRight w:val="0"/>
      <w:marTop w:val="0"/>
      <w:marBottom w:val="0"/>
      <w:divBdr>
        <w:top w:val="none" w:sz="0" w:space="0" w:color="auto"/>
        <w:left w:val="none" w:sz="0" w:space="0" w:color="auto"/>
        <w:bottom w:val="none" w:sz="0" w:space="0" w:color="auto"/>
        <w:right w:val="none" w:sz="0" w:space="0" w:color="auto"/>
      </w:divBdr>
      <w:divsChild>
        <w:div w:id="284048033">
          <w:marLeft w:val="0"/>
          <w:marRight w:val="0"/>
          <w:marTop w:val="0"/>
          <w:marBottom w:val="0"/>
          <w:divBdr>
            <w:top w:val="none" w:sz="0" w:space="0" w:color="auto"/>
            <w:left w:val="none" w:sz="0" w:space="0" w:color="auto"/>
            <w:bottom w:val="none" w:sz="0" w:space="0" w:color="auto"/>
            <w:right w:val="none" w:sz="0" w:space="0" w:color="auto"/>
          </w:divBdr>
        </w:div>
        <w:div w:id="1173913155">
          <w:marLeft w:val="0"/>
          <w:marRight w:val="0"/>
          <w:marTop w:val="0"/>
          <w:marBottom w:val="0"/>
          <w:divBdr>
            <w:top w:val="none" w:sz="0" w:space="0" w:color="auto"/>
            <w:left w:val="none" w:sz="0" w:space="0" w:color="auto"/>
            <w:bottom w:val="none" w:sz="0" w:space="0" w:color="auto"/>
            <w:right w:val="none" w:sz="0" w:space="0" w:color="auto"/>
          </w:divBdr>
        </w:div>
        <w:div w:id="241062751">
          <w:marLeft w:val="0"/>
          <w:marRight w:val="0"/>
          <w:marTop w:val="0"/>
          <w:marBottom w:val="0"/>
          <w:divBdr>
            <w:top w:val="none" w:sz="0" w:space="0" w:color="auto"/>
            <w:left w:val="none" w:sz="0" w:space="0" w:color="auto"/>
            <w:bottom w:val="none" w:sz="0" w:space="0" w:color="auto"/>
            <w:right w:val="none" w:sz="0" w:space="0" w:color="auto"/>
          </w:divBdr>
        </w:div>
        <w:div w:id="219250006">
          <w:marLeft w:val="0"/>
          <w:marRight w:val="0"/>
          <w:marTop w:val="0"/>
          <w:marBottom w:val="0"/>
          <w:divBdr>
            <w:top w:val="none" w:sz="0" w:space="0" w:color="auto"/>
            <w:left w:val="none" w:sz="0" w:space="0" w:color="auto"/>
            <w:bottom w:val="none" w:sz="0" w:space="0" w:color="auto"/>
            <w:right w:val="none" w:sz="0" w:space="0" w:color="auto"/>
          </w:divBdr>
        </w:div>
        <w:div w:id="1930850261">
          <w:marLeft w:val="0"/>
          <w:marRight w:val="0"/>
          <w:marTop w:val="0"/>
          <w:marBottom w:val="0"/>
          <w:divBdr>
            <w:top w:val="none" w:sz="0" w:space="0" w:color="auto"/>
            <w:left w:val="none" w:sz="0" w:space="0" w:color="auto"/>
            <w:bottom w:val="none" w:sz="0" w:space="0" w:color="auto"/>
            <w:right w:val="none" w:sz="0" w:space="0" w:color="auto"/>
          </w:divBdr>
        </w:div>
        <w:div w:id="1659964178">
          <w:marLeft w:val="0"/>
          <w:marRight w:val="0"/>
          <w:marTop w:val="0"/>
          <w:marBottom w:val="0"/>
          <w:divBdr>
            <w:top w:val="none" w:sz="0" w:space="0" w:color="auto"/>
            <w:left w:val="none" w:sz="0" w:space="0" w:color="auto"/>
            <w:bottom w:val="none" w:sz="0" w:space="0" w:color="auto"/>
            <w:right w:val="none" w:sz="0" w:space="0" w:color="auto"/>
          </w:divBdr>
        </w:div>
        <w:div w:id="817697422">
          <w:marLeft w:val="0"/>
          <w:marRight w:val="0"/>
          <w:marTop w:val="0"/>
          <w:marBottom w:val="0"/>
          <w:divBdr>
            <w:top w:val="none" w:sz="0" w:space="0" w:color="auto"/>
            <w:left w:val="none" w:sz="0" w:space="0" w:color="auto"/>
            <w:bottom w:val="none" w:sz="0" w:space="0" w:color="auto"/>
            <w:right w:val="none" w:sz="0" w:space="0" w:color="auto"/>
          </w:divBdr>
        </w:div>
        <w:div w:id="1634018583">
          <w:marLeft w:val="0"/>
          <w:marRight w:val="0"/>
          <w:marTop w:val="0"/>
          <w:marBottom w:val="0"/>
          <w:divBdr>
            <w:top w:val="none" w:sz="0" w:space="0" w:color="auto"/>
            <w:left w:val="none" w:sz="0" w:space="0" w:color="auto"/>
            <w:bottom w:val="none" w:sz="0" w:space="0" w:color="auto"/>
            <w:right w:val="none" w:sz="0" w:space="0" w:color="auto"/>
          </w:divBdr>
        </w:div>
        <w:div w:id="2118863000">
          <w:marLeft w:val="0"/>
          <w:marRight w:val="0"/>
          <w:marTop w:val="0"/>
          <w:marBottom w:val="0"/>
          <w:divBdr>
            <w:top w:val="none" w:sz="0" w:space="0" w:color="auto"/>
            <w:left w:val="none" w:sz="0" w:space="0" w:color="auto"/>
            <w:bottom w:val="none" w:sz="0" w:space="0" w:color="auto"/>
            <w:right w:val="none" w:sz="0" w:space="0" w:color="auto"/>
          </w:divBdr>
        </w:div>
        <w:div w:id="422456411">
          <w:marLeft w:val="0"/>
          <w:marRight w:val="0"/>
          <w:marTop w:val="0"/>
          <w:marBottom w:val="0"/>
          <w:divBdr>
            <w:top w:val="none" w:sz="0" w:space="0" w:color="auto"/>
            <w:left w:val="none" w:sz="0" w:space="0" w:color="auto"/>
            <w:bottom w:val="none" w:sz="0" w:space="0" w:color="auto"/>
            <w:right w:val="none" w:sz="0" w:space="0" w:color="auto"/>
          </w:divBdr>
        </w:div>
        <w:div w:id="767195969">
          <w:marLeft w:val="0"/>
          <w:marRight w:val="0"/>
          <w:marTop w:val="0"/>
          <w:marBottom w:val="0"/>
          <w:divBdr>
            <w:top w:val="none" w:sz="0" w:space="0" w:color="auto"/>
            <w:left w:val="none" w:sz="0" w:space="0" w:color="auto"/>
            <w:bottom w:val="none" w:sz="0" w:space="0" w:color="auto"/>
            <w:right w:val="none" w:sz="0" w:space="0" w:color="auto"/>
          </w:divBdr>
        </w:div>
        <w:div w:id="279729011">
          <w:marLeft w:val="0"/>
          <w:marRight w:val="0"/>
          <w:marTop w:val="0"/>
          <w:marBottom w:val="0"/>
          <w:divBdr>
            <w:top w:val="none" w:sz="0" w:space="0" w:color="auto"/>
            <w:left w:val="none" w:sz="0" w:space="0" w:color="auto"/>
            <w:bottom w:val="none" w:sz="0" w:space="0" w:color="auto"/>
            <w:right w:val="none" w:sz="0" w:space="0" w:color="auto"/>
          </w:divBdr>
        </w:div>
        <w:div w:id="1912885372">
          <w:marLeft w:val="0"/>
          <w:marRight w:val="0"/>
          <w:marTop w:val="0"/>
          <w:marBottom w:val="0"/>
          <w:divBdr>
            <w:top w:val="none" w:sz="0" w:space="0" w:color="auto"/>
            <w:left w:val="none" w:sz="0" w:space="0" w:color="auto"/>
            <w:bottom w:val="none" w:sz="0" w:space="0" w:color="auto"/>
            <w:right w:val="none" w:sz="0" w:space="0" w:color="auto"/>
          </w:divBdr>
        </w:div>
        <w:div w:id="849491568">
          <w:marLeft w:val="0"/>
          <w:marRight w:val="0"/>
          <w:marTop w:val="0"/>
          <w:marBottom w:val="0"/>
          <w:divBdr>
            <w:top w:val="none" w:sz="0" w:space="0" w:color="auto"/>
            <w:left w:val="none" w:sz="0" w:space="0" w:color="auto"/>
            <w:bottom w:val="none" w:sz="0" w:space="0" w:color="auto"/>
            <w:right w:val="none" w:sz="0" w:space="0" w:color="auto"/>
          </w:divBdr>
        </w:div>
        <w:div w:id="1986742833">
          <w:marLeft w:val="0"/>
          <w:marRight w:val="0"/>
          <w:marTop w:val="0"/>
          <w:marBottom w:val="0"/>
          <w:divBdr>
            <w:top w:val="none" w:sz="0" w:space="0" w:color="auto"/>
            <w:left w:val="none" w:sz="0" w:space="0" w:color="auto"/>
            <w:bottom w:val="none" w:sz="0" w:space="0" w:color="auto"/>
            <w:right w:val="none" w:sz="0" w:space="0" w:color="auto"/>
          </w:divBdr>
        </w:div>
        <w:div w:id="1774780890">
          <w:marLeft w:val="0"/>
          <w:marRight w:val="0"/>
          <w:marTop w:val="0"/>
          <w:marBottom w:val="0"/>
          <w:divBdr>
            <w:top w:val="none" w:sz="0" w:space="0" w:color="auto"/>
            <w:left w:val="none" w:sz="0" w:space="0" w:color="auto"/>
            <w:bottom w:val="none" w:sz="0" w:space="0" w:color="auto"/>
            <w:right w:val="none" w:sz="0" w:space="0" w:color="auto"/>
          </w:divBdr>
        </w:div>
        <w:div w:id="230391341">
          <w:marLeft w:val="0"/>
          <w:marRight w:val="0"/>
          <w:marTop w:val="0"/>
          <w:marBottom w:val="0"/>
          <w:divBdr>
            <w:top w:val="none" w:sz="0" w:space="0" w:color="auto"/>
            <w:left w:val="none" w:sz="0" w:space="0" w:color="auto"/>
            <w:bottom w:val="none" w:sz="0" w:space="0" w:color="auto"/>
            <w:right w:val="none" w:sz="0" w:space="0" w:color="auto"/>
          </w:divBdr>
        </w:div>
        <w:div w:id="859317912">
          <w:marLeft w:val="0"/>
          <w:marRight w:val="0"/>
          <w:marTop w:val="0"/>
          <w:marBottom w:val="0"/>
          <w:divBdr>
            <w:top w:val="none" w:sz="0" w:space="0" w:color="auto"/>
            <w:left w:val="none" w:sz="0" w:space="0" w:color="auto"/>
            <w:bottom w:val="none" w:sz="0" w:space="0" w:color="auto"/>
            <w:right w:val="none" w:sz="0" w:space="0" w:color="auto"/>
          </w:divBdr>
        </w:div>
        <w:div w:id="545682396">
          <w:marLeft w:val="0"/>
          <w:marRight w:val="0"/>
          <w:marTop w:val="0"/>
          <w:marBottom w:val="0"/>
          <w:divBdr>
            <w:top w:val="none" w:sz="0" w:space="0" w:color="auto"/>
            <w:left w:val="none" w:sz="0" w:space="0" w:color="auto"/>
            <w:bottom w:val="none" w:sz="0" w:space="0" w:color="auto"/>
            <w:right w:val="none" w:sz="0" w:space="0" w:color="auto"/>
          </w:divBdr>
        </w:div>
        <w:div w:id="1573468953">
          <w:marLeft w:val="0"/>
          <w:marRight w:val="0"/>
          <w:marTop w:val="0"/>
          <w:marBottom w:val="0"/>
          <w:divBdr>
            <w:top w:val="none" w:sz="0" w:space="0" w:color="auto"/>
            <w:left w:val="none" w:sz="0" w:space="0" w:color="auto"/>
            <w:bottom w:val="none" w:sz="0" w:space="0" w:color="auto"/>
            <w:right w:val="none" w:sz="0" w:space="0" w:color="auto"/>
          </w:divBdr>
        </w:div>
        <w:div w:id="1159811461">
          <w:marLeft w:val="0"/>
          <w:marRight w:val="0"/>
          <w:marTop w:val="0"/>
          <w:marBottom w:val="0"/>
          <w:divBdr>
            <w:top w:val="none" w:sz="0" w:space="0" w:color="auto"/>
            <w:left w:val="none" w:sz="0" w:space="0" w:color="auto"/>
            <w:bottom w:val="none" w:sz="0" w:space="0" w:color="auto"/>
            <w:right w:val="none" w:sz="0" w:space="0" w:color="auto"/>
          </w:divBdr>
        </w:div>
        <w:div w:id="203181898">
          <w:marLeft w:val="0"/>
          <w:marRight w:val="0"/>
          <w:marTop w:val="0"/>
          <w:marBottom w:val="0"/>
          <w:divBdr>
            <w:top w:val="none" w:sz="0" w:space="0" w:color="auto"/>
            <w:left w:val="none" w:sz="0" w:space="0" w:color="auto"/>
            <w:bottom w:val="none" w:sz="0" w:space="0" w:color="auto"/>
            <w:right w:val="none" w:sz="0" w:space="0" w:color="auto"/>
          </w:divBdr>
        </w:div>
        <w:div w:id="1619526221">
          <w:marLeft w:val="0"/>
          <w:marRight w:val="0"/>
          <w:marTop w:val="0"/>
          <w:marBottom w:val="0"/>
          <w:divBdr>
            <w:top w:val="none" w:sz="0" w:space="0" w:color="auto"/>
            <w:left w:val="none" w:sz="0" w:space="0" w:color="auto"/>
            <w:bottom w:val="none" w:sz="0" w:space="0" w:color="auto"/>
            <w:right w:val="none" w:sz="0" w:space="0" w:color="auto"/>
          </w:divBdr>
        </w:div>
        <w:div w:id="1421682370">
          <w:marLeft w:val="0"/>
          <w:marRight w:val="0"/>
          <w:marTop w:val="0"/>
          <w:marBottom w:val="0"/>
          <w:divBdr>
            <w:top w:val="none" w:sz="0" w:space="0" w:color="auto"/>
            <w:left w:val="none" w:sz="0" w:space="0" w:color="auto"/>
            <w:bottom w:val="none" w:sz="0" w:space="0" w:color="auto"/>
            <w:right w:val="none" w:sz="0" w:space="0" w:color="auto"/>
          </w:divBdr>
        </w:div>
        <w:div w:id="19480763">
          <w:marLeft w:val="0"/>
          <w:marRight w:val="0"/>
          <w:marTop w:val="0"/>
          <w:marBottom w:val="0"/>
          <w:divBdr>
            <w:top w:val="none" w:sz="0" w:space="0" w:color="auto"/>
            <w:left w:val="none" w:sz="0" w:space="0" w:color="auto"/>
            <w:bottom w:val="none" w:sz="0" w:space="0" w:color="auto"/>
            <w:right w:val="none" w:sz="0" w:space="0" w:color="auto"/>
          </w:divBdr>
        </w:div>
        <w:div w:id="1541897382">
          <w:marLeft w:val="0"/>
          <w:marRight w:val="0"/>
          <w:marTop w:val="0"/>
          <w:marBottom w:val="0"/>
          <w:divBdr>
            <w:top w:val="none" w:sz="0" w:space="0" w:color="auto"/>
            <w:left w:val="none" w:sz="0" w:space="0" w:color="auto"/>
            <w:bottom w:val="none" w:sz="0" w:space="0" w:color="auto"/>
            <w:right w:val="none" w:sz="0" w:space="0" w:color="auto"/>
          </w:divBdr>
        </w:div>
        <w:div w:id="321273786">
          <w:marLeft w:val="0"/>
          <w:marRight w:val="0"/>
          <w:marTop w:val="0"/>
          <w:marBottom w:val="0"/>
          <w:divBdr>
            <w:top w:val="none" w:sz="0" w:space="0" w:color="auto"/>
            <w:left w:val="none" w:sz="0" w:space="0" w:color="auto"/>
            <w:bottom w:val="none" w:sz="0" w:space="0" w:color="auto"/>
            <w:right w:val="none" w:sz="0" w:space="0" w:color="auto"/>
          </w:divBdr>
        </w:div>
      </w:divsChild>
    </w:div>
    <w:div w:id="1556163811">
      <w:bodyDiv w:val="1"/>
      <w:marLeft w:val="0"/>
      <w:marRight w:val="0"/>
      <w:marTop w:val="0"/>
      <w:marBottom w:val="0"/>
      <w:divBdr>
        <w:top w:val="none" w:sz="0" w:space="0" w:color="auto"/>
        <w:left w:val="none" w:sz="0" w:space="0" w:color="auto"/>
        <w:bottom w:val="none" w:sz="0" w:space="0" w:color="auto"/>
        <w:right w:val="none" w:sz="0" w:space="0" w:color="auto"/>
      </w:divBdr>
    </w:div>
    <w:div w:id="1901015235">
      <w:bodyDiv w:val="1"/>
      <w:marLeft w:val="0"/>
      <w:marRight w:val="0"/>
      <w:marTop w:val="0"/>
      <w:marBottom w:val="0"/>
      <w:divBdr>
        <w:top w:val="none" w:sz="0" w:space="0" w:color="auto"/>
        <w:left w:val="none" w:sz="0" w:space="0" w:color="auto"/>
        <w:bottom w:val="none" w:sz="0" w:space="0" w:color="auto"/>
        <w:right w:val="none" w:sz="0" w:space="0" w:color="auto"/>
      </w:divBdr>
    </w:div>
    <w:div w:id="20625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ph.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ph.pl" TargetMode="External"/><Relationship Id="rId12" Type="http://schemas.openxmlformats.org/officeDocument/2006/relationships/hyperlink" Target="http://www.siph.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ph.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anty@siph.pl" TargetMode="External"/><Relationship Id="rId4" Type="http://schemas.openxmlformats.org/officeDocument/2006/relationships/webSettings" Target="webSettings.xml"/><Relationship Id="rId9" Type="http://schemas.openxmlformats.org/officeDocument/2006/relationships/hyperlink" Target="http://www.siph.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1309</Words>
  <Characters>7856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Grochowska</dc:creator>
  <cp:lastModifiedBy>PU</cp:lastModifiedBy>
  <cp:revision>4</cp:revision>
  <cp:lastPrinted>2018-06-08T11:10:00Z</cp:lastPrinted>
  <dcterms:created xsi:type="dcterms:W3CDTF">2019-10-18T10:25:00Z</dcterms:created>
  <dcterms:modified xsi:type="dcterms:W3CDTF">2019-10-18T10:50:00Z</dcterms:modified>
</cp:coreProperties>
</file>